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F6" w:rsidRPr="00EC61B8" w:rsidRDefault="009D03F6" w:rsidP="009D03F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9D03F6" w:rsidRPr="00EC61B8" w:rsidRDefault="009D03F6" w:rsidP="009D03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5140" cy="60960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F6" w:rsidRPr="00EC61B8" w:rsidRDefault="009D03F6" w:rsidP="009D03F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3F6" w:rsidRPr="00EC61B8" w:rsidRDefault="009D03F6" w:rsidP="009D03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9D03F6" w:rsidRPr="00EC61B8" w:rsidRDefault="009D03F6" w:rsidP="009D03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9D03F6" w:rsidRPr="00EC61B8" w:rsidRDefault="009D03F6" w:rsidP="009D03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9D03F6" w:rsidRPr="00EC61B8" w:rsidRDefault="009D03F6" w:rsidP="009D03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9D03F6" w:rsidRPr="00EC61B8" w:rsidRDefault="009D03F6" w:rsidP="009D03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3F6" w:rsidRPr="00EC61B8" w:rsidRDefault="009D03F6" w:rsidP="009D03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D03F6" w:rsidRPr="00EC61B8" w:rsidRDefault="009D03F6" w:rsidP="009D03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9"/>
        <w:gridCol w:w="5069"/>
      </w:tblGrid>
      <w:tr w:rsidR="009D03F6" w:rsidRPr="00EC61B8" w:rsidTr="00C56F37">
        <w:trPr>
          <w:trHeight w:val="360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9D03F6" w:rsidRPr="00EC61B8" w:rsidRDefault="00460079" w:rsidP="00C655E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обращении </w:t>
            </w:r>
            <w:r w:rsidRPr="004600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нормализации финансового положения муниципальных казенных предприятий – сельскохозяйственных товаропроизводителей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D03F6" w:rsidRPr="00EC61B8" w:rsidRDefault="009D03F6" w:rsidP="00C655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D03F6" w:rsidRDefault="009D03F6" w:rsidP="009D03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3F6" w:rsidRDefault="009D03F6" w:rsidP="009D03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71A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Уставом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«</w:t>
      </w:r>
      <w:r w:rsidRPr="003771A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Муниципальный район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771AA">
        <w:rPr>
          <w:rFonts w:ascii="Times New Roman" w:eastAsia="Times New Roman" w:hAnsi="Times New Roman"/>
          <w:sz w:val="26"/>
          <w:szCs w:val="26"/>
          <w:lang w:eastAsia="ru-RU"/>
        </w:rPr>
        <w:t>Заполярный район</w:t>
      </w:r>
      <w:r w:rsidR="009B6CE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813D43">
        <w:rPr>
          <w:rFonts w:ascii="Times New Roman" w:eastAsia="Times New Roman" w:hAnsi="Times New Roman"/>
          <w:lang w:eastAsia="ru-RU"/>
        </w:rPr>
        <w:t xml:space="preserve"> </w:t>
      </w:r>
      <w:r w:rsidRPr="003771AA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муниципального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«Заполярный район» РЕШИЛ</w:t>
      </w:r>
      <w:r w:rsidRPr="003771A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D03F6" w:rsidRPr="003771AA" w:rsidRDefault="009D03F6" w:rsidP="009D03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3F6" w:rsidRPr="00C4335B" w:rsidRDefault="00813D43" w:rsidP="009D03F6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335B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9D03F6" w:rsidRPr="00C4335B">
        <w:rPr>
          <w:rFonts w:ascii="Times New Roman" w:hAnsi="Times New Roman" w:cs="Times New Roman"/>
          <w:b w:val="0"/>
          <w:sz w:val="26"/>
          <w:szCs w:val="26"/>
        </w:rPr>
        <w:t>Принять обращение депутатов Совета Заполярного района к губернато</w:t>
      </w:r>
      <w:r w:rsidR="008834D2" w:rsidRPr="00C4335B">
        <w:rPr>
          <w:rFonts w:ascii="Times New Roman" w:hAnsi="Times New Roman" w:cs="Times New Roman"/>
          <w:b w:val="0"/>
          <w:sz w:val="26"/>
          <w:szCs w:val="26"/>
        </w:rPr>
        <w:t xml:space="preserve">ру Ненецкого автономного округа </w:t>
      </w:r>
      <w:proofErr w:type="spellStart"/>
      <w:r w:rsidR="009D03F6" w:rsidRPr="00C4335B">
        <w:rPr>
          <w:rFonts w:ascii="Times New Roman" w:hAnsi="Times New Roman" w:cs="Times New Roman"/>
          <w:b w:val="0"/>
          <w:sz w:val="26"/>
          <w:szCs w:val="26"/>
        </w:rPr>
        <w:t>Цыбульскому</w:t>
      </w:r>
      <w:proofErr w:type="spellEnd"/>
      <w:r w:rsidR="008834D2" w:rsidRPr="00C4335B">
        <w:rPr>
          <w:rFonts w:ascii="Times New Roman" w:hAnsi="Times New Roman" w:cs="Times New Roman"/>
          <w:b w:val="0"/>
          <w:sz w:val="26"/>
          <w:szCs w:val="26"/>
        </w:rPr>
        <w:t xml:space="preserve"> А.В.</w:t>
      </w:r>
      <w:r w:rsidR="009D03F6" w:rsidRPr="00C4335B">
        <w:rPr>
          <w:rFonts w:ascii="Times New Roman" w:hAnsi="Times New Roman" w:cs="Times New Roman"/>
          <w:b w:val="0"/>
          <w:sz w:val="26"/>
          <w:szCs w:val="26"/>
        </w:rPr>
        <w:t xml:space="preserve"> и Собранию депутатов Ненецкого автономного округа о нормализации финансового положения муниципальных казенных предприятий – сельскохозяйственных товаропроизводителей (прилагается). </w:t>
      </w:r>
    </w:p>
    <w:p w:rsidR="009D03F6" w:rsidRPr="009D03F6" w:rsidRDefault="00813D43" w:rsidP="00C56F37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9D03F6" w:rsidRPr="009D03F6">
        <w:rPr>
          <w:rFonts w:ascii="Times New Roman" w:hAnsi="Times New Roman" w:cs="Times New Roman"/>
          <w:b w:val="0"/>
          <w:sz w:val="26"/>
          <w:szCs w:val="26"/>
        </w:rPr>
        <w:t xml:space="preserve">Настоящее решение </w:t>
      </w:r>
      <w:r w:rsidRPr="00C4335B">
        <w:rPr>
          <w:rFonts w:ascii="Times New Roman" w:hAnsi="Times New Roman" w:cs="Times New Roman"/>
          <w:b w:val="0"/>
          <w:sz w:val="26"/>
          <w:szCs w:val="26"/>
        </w:rPr>
        <w:t>вступает в силу со дня принятия 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03F6" w:rsidRPr="009D03F6">
        <w:rPr>
          <w:rFonts w:ascii="Times New Roman" w:hAnsi="Times New Roman" w:cs="Times New Roman"/>
          <w:b w:val="0"/>
          <w:sz w:val="26"/>
          <w:szCs w:val="26"/>
        </w:rPr>
        <w:t xml:space="preserve">подлежит официальному опубликованию. </w:t>
      </w:r>
    </w:p>
    <w:p w:rsidR="009D03F6" w:rsidRDefault="009D03F6" w:rsidP="009D03F6">
      <w:pPr>
        <w:spacing w:after="0" w:line="240" w:lineRule="auto"/>
        <w:ind w:left="332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03F6" w:rsidRPr="00EC61B8" w:rsidRDefault="009D03F6" w:rsidP="00C56F3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20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9D03F6" w:rsidRPr="00EC61B8" w:rsidTr="00C655E6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9D03F6" w:rsidRPr="006A5C2E" w:rsidRDefault="009D03F6" w:rsidP="00C655E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9D03F6" w:rsidRPr="006A5C2E" w:rsidRDefault="009D03F6" w:rsidP="00C655E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9D03F6" w:rsidRDefault="009D03F6" w:rsidP="00C655E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«Заполярный район»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   _______________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В.Н. Ильин</w:t>
            </w:r>
          </w:p>
        </w:tc>
      </w:tr>
    </w:tbl>
    <w:p w:rsidR="009D03F6" w:rsidRDefault="009D03F6" w:rsidP="009D03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CC0" w:rsidRPr="00EC61B8" w:rsidRDefault="00D24CC0" w:rsidP="009D03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03F6" w:rsidRPr="003941F7" w:rsidRDefault="009D03F6" w:rsidP="009D03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1F7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9D03F6" w:rsidRPr="003941F7" w:rsidRDefault="009D03F6" w:rsidP="009D03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 марта 2020</w:t>
      </w:r>
      <w:r w:rsidRPr="003941F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9D03F6" w:rsidRPr="003941F7" w:rsidRDefault="009D03F6" w:rsidP="009D03F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1F7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C56F37"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Pr="003941F7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p w:rsidR="0090216E" w:rsidRDefault="0090216E"/>
    <w:p w:rsidR="009D03F6" w:rsidRDefault="009D03F6"/>
    <w:p w:rsidR="009D03F6" w:rsidRDefault="009D03F6"/>
    <w:p w:rsidR="009D03F6" w:rsidRDefault="009D03F6"/>
    <w:p w:rsidR="009D03F6" w:rsidRDefault="009D03F6"/>
    <w:p w:rsidR="00C56F37" w:rsidRDefault="00C56F37"/>
    <w:p w:rsidR="00C56F37" w:rsidRDefault="00C56F37"/>
    <w:p w:rsidR="009D03F6" w:rsidRPr="009D03F6" w:rsidRDefault="009D03F6" w:rsidP="009D0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9D03F6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</w:p>
    <w:p w:rsidR="009D03F6" w:rsidRPr="009D03F6" w:rsidRDefault="009D03F6" w:rsidP="009D0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D03F6">
        <w:rPr>
          <w:rFonts w:ascii="Times New Roman" w:eastAsiaTheme="minorHAnsi" w:hAnsi="Times New Roman"/>
          <w:sz w:val="24"/>
          <w:szCs w:val="24"/>
        </w:rPr>
        <w:t>к решению Совета</w:t>
      </w:r>
    </w:p>
    <w:p w:rsidR="009D03F6" w:rsidRPr="009D03F6" w:rsidRDefault="009D03F6" w:rsidP="009D0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D03F6">
        <w:rPr>
          <w:rFonts w:ascii="Times New Roman" w:eastAsiaTheme="minorHAnsi" w:hAnsi="Times New Roman"/>
          <w:sz w:val="24"/>
          <w:szCs w:val="24"/>
        </w:rPr>
        <w:t>муниципального района</w:t>
      </w:r>
    </w:p>
    <w:p w:rsidR="009D03F6" w:rsidRPr="009D03F6" w:rsidRDefault="009D03F6" w:rsidP="009D0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«Заполярный район»</w:t>
      </w:r>
    </w:p>
    <w:p w:rsidR="009D03F6" w:rsidRPr="009D03F6" w:rsidRDefault="009D03F6" w:rsidP="009D0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9D03F6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C4335B">
        <w:rPr>
          <w:rFonts w:ascii="Times New Roman" w:eastAsiaTheme="minorHAnsi" w:hAnsi="Times New Roman"/>
          <w:sz w:val="24"/>
          <w:szCs w:val="24"/>
        </w:rPr>
        <w:t xml:space="preserve">19 марта 2020 года </w:t>
      </w:r>
      <w:r>
        <w:rPr>
          <w:rFonts w:ascii="Times New Roman" w:eastAsiaTheme="minorHAnsi" w:hAnsi="Times New Roman"/>
          <w:sz w:val="24"/>
          <w:szCs w:val="24"/>
        </w:rPr>
        <w:t>№</w:t>
      </w:r>
      <w:r w:rsidR="00C4335B">
        <w:rPr>
          <w:rFonts w:ascii="Times New Roman" w:eastAsiaTheme="minorHAnsi" w:hAnsi="Times New Roman"/>
          <w:sz w:val="24"/>
          <w:szCs w:val="24"/>
        </w:rPr>
        <w:t xml:space="preserve"> </w:t>
      </w:r>
      <w:r w:rsidR="00C56F37">
        <w:rPr>
          <w:rFonts w:ascii="Times New Roman" w:eastAsiaTheme="minorHAnsi" w:hAnsi="Times New Roman"/>
          <w:sz w:val="24"/>
          <w:szCs w:val="24"/>
        </w:rPr>
        <w:t>48</w:t>
      </w:r>
      <w:bookmarkStart w:id="0" w:name="_GoBack"/>
      <w:bookmarkEnd w:id="0"/>
      <w:r w:rsidR="00C4335B">
        <w:rPr>
          <w:rFonts w:ascii="Times New Roman" w:eastAsiaTheme="minorHAnsi" w:hAnsi="Times New Roman"/>
          <w:sz w:val="24"/>
          <w:szCs w:val="24"/>
        </w:rPr>
        <w:t>-р</w:t>
      </w:r>
    </w:p>
    <w:p w:rsidR="009D03F6" w:rsidRDefault="009D03F6" w:rsidP="009D03F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C4335B" w:rsidRDefault="00C4335B" w:rsidP="009D03F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9D03F6" w:rsidRDefault="009D03F6" w:rsidP="009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О</w:t>
      </w:r>
      <w:r w:rsidRPr="009D03F6">
        <w:rPr>
          <w:rFonts w:ascii="Times New Roman" w:eastAsiaTheme="minorHAnsi" w:hAnsi="Times New Roman"/>
          <w:b/>
          <w:bCs/>
          <w:sz w:val="26"/>
          <w:szCs w:val="26"/>
        </w:rPr>
        <w:t>бращение депутатов Совета Заполярного района к</w:t>
      </w:r>
    </w:p>
    <w:p w:rsidR="009D03F6" w:rsidRDefault="009D03F6" w:rsidP="009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9D03F6">
        <w:rPr>
          <w:rFonts w:ascii="Times New Roman" w:eastAsiaTheme="minorHAnsi" w:hAnsi="Times New Roman"/>
          <w:b/>
          <w:bCs/>
          <w:sz w:val="26"/>
          <w:szCs w:val="26"/>
        </w:rPr>
        <w:t xml:space="preserve">губернатору Ненецкого автономного округа </w:t>
      </w:r>
      <w:proofErr w:type="spellStart"/>
      <w:r w:rsidRPr="009D03F6">
        <w:rPr>
          <w:rFonts w:ascii="Times New Roman" w:eastAsiaTheme="minorHAnsi" w:hAnsi="Times New Roman"/>
          <w:b/>
          <w:bCs/>
          <w:sz w:val="26"/>
          <w:szCs w:val="26"/>
        </w:rPr>
        <w:t>Цыбульскому</w:t>
      </w:r>
      <w:proofErr w:type="spellEnd"/>
      <w:r w:rsidR="008834D2">
        <w:rPr>
          <w:rFonts w:ascii="Times New Roman" w:eastAsiaTheme="minorHAnsi" w:hAnsi="Times New Roman"/>
          <w:b/>
          <w:bCs/>
          <w:sz w:val="26"/>
          <w:szCs w:val="26"/>
        </w:rPr>
        <w:t xml:space="preserve"> А.В.</w:t>
      </w:r>
    </w:p>
    <w:p w:rsidR="009D03F6" w:rsidRDefault="009D03F6" w:rsidP="009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9D03F6">
        <w:rPr>
          <w:rFonts w:ascii="Times New Roman" w:eastAsiaTheme="minorHAnsi" w:hAnsi="Times New Roman"/>
          <w:b/>
          <w:bCs/>
          <w:sz w:val="26"/>
          <w:szCs w:val="26"/>
        </w:rPr>
        <w:t>и Собранию депутатов Ненецкого автономного округа</w:t>
      </w:r>
    </w:p>
    <w:p w:rsidR="009D03F6" w:rsidRPr="009D03F6" w:rsidRDefault="009D03F6" w:rsidP="009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9D03F6">
        <w:rPr>
          <w:rFonts w:ascii="Times New Roman" w:eastAsiaTheme="minorHAnsi" w:hAnsi="Times New Roman"/>
          <w:b/>
          <w:bCs/>
          <w:sz w:val="26"/>
          <w:szCs w:val="26"/>
        </w:rPr>
        <w:t>о нормализации финансового положения муниципальных казенных предприятий – сельскохозяйственных товаропроизводителей</w:t>
      </w:r>
    </w:p>
    <w:p w:rsidR="009D03F6" w:rsidRPr="00813D43" w:rsidRDefault="009D03F6" w:rsidP="0081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9D03F6" w:rsidRPr="00813D43" w:rsidRDefault="009D03F6" w:rsidP="0081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813D43">
        <w:rPr>
          <w:rFonts w:ascii="Times New Roman" w:eastAsiaTheme="minorHAnsi" w:hAnsi="Times New Roman"/>
          <w:sz w:val="26"/>
          <w:szCs w:val="26"/>
        </w:rPr>
        <w:t>Уважаемый Александр Витальевич!</w:t>
      </w:r>
    </w:p>
    <w:p w:rsidR="009D03F6" w:rsidRPr="00813D43" w:rsidRDefault="009D03F6" w:rsidP="0081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813D43">
        <w:rPr>
          <w:rFonts w:ascii="Times New Roman" w:eastAsiaTheme="minorHAnsi" w:hAnsi="Times New Roman"/>
          <w:sz w:val="26"/>
          <w:szCs w:val="26"/>
        </w:rPr>
        <w:t>Уважаемый Александр Ильич!</w:t>
      </w:r>
    </w:p>
    <w:p w:rsidR="000A28E3" w:rsidRPr="00813D43" w:rsidRDefault="000A28E3" w:rsidP="0081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813D43">
        <w:rPr>
          <w:rFonts w:ascii="Times New Roman" w:eastAsiaTheme="minorHAnsi" w:hAnsi="Times New Roman"/>
          <w:sz w:val="26"/>
          <w:szCs w:val="26"/>
        </w:rPr>
        <w:t>Уважаемые коллеги – депутаты Собрания депутатов округа!</w:t>
      </w:r>
    </w:p>
    <w:p w:rsidR="000A28E3" w:rsidRPr="00813D43" w:rsidRDefault="000A28E3" w:rsidP="00813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0A28E3" w:rsidRPr="00813D43" w:rsidRDefault="000A28E3" w:rsidP="00C4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13D43">
        <w:rPr>
          <w:rFonts w:ascii="Times New Roman" w:eastAsiaTheme="minorHAnsi" w:hAnsi="Times New Roman"/>
          <w:sz w:val="26"/>
          <w:szCs w:val="26"/>
        </w:rPr>
        <w:t>С 1 января 2020 года вступили в силу изменения в закон Нененецкого автономного округа от 19.09.2014 № 95-</w:t>
      </w:r>
      <w:r w:rsidR="00813D43">
        <w:rPr>
          <w:rFonts w:ascii="Times New Roman" w:eastAsiaTheme="minorHAnsi" w:hAnsi="Times New Roman"/>
          <w:sz w:val="26"/>
          <w:szCs w:val="26"/>
        </w:rPr>
        <w:t>оз</w:t>
      </w:r>
      <w:r w:rsidRPr="00813D43">
        <w:rPr>
          <w:rFonts w:ascii="Times New Roman" w:eastAsiaTheme="minorHAnsi" w:hAnsi="Times New Roman"/>
          <w:sz w:val="26"/>
          <w:szCs w:val="26"/>
        </w:rPr>
        <w:t xml:space="preserve">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округа», согласно которым органам местного самоуправления муниципального района переданы полномочия по созданию условий для развития сельскохозяйственного производства в поселениях, расширения рынка сельскохозяйственной продукции, сырья и продовольствия в отношении организаций, учредителем (акционером, участником) которых является муниципальный район.</w:t>
      </w:r>
    </w:p>
    <w:p w:rsidR="000A28E3" w:rsidRPr="00813D43" w:rsidRDefault="000A28E3" w:rsidP="00C4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13D43">
        <w:rPr>
          <w:rFonts w:ascii="Times New Roman" w:eastAsiaTheme="minorHAnsi" w:hAnsi="Times New Roman"/>
          <w:sz w:val="26"/>
          <w:szCs w:val="26"/>
        </w:rPr>
        <w:t>Администрация муниципального района «Заполярный район» в порядке правотворческой инициативы представила в Совет муниципального района «Заполярный район» проект решения «О согласовании приема в муниципальную собственность муниципальных казенных предприятий».</w:t>
      </w:r>
    </w:p>
    <w:p w:rsidR="000A28E3" w:rsidRPr="00813D43" w:rsidRDefault="000A28E3" w:rsidP="00C43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813D43">
        <w:rPr>
          <w:rFonts w:ascii="Times New Roman" w:eastAsiaTheme="minorHAnsi" w:hAnsi="Times New Roman"/>
          <w:sz w:val="26"/>
          <w:szCs w:val="26"/>
        </w:rPr>
        <w:t>Представленным проектом предлагается согласовать прием в собственность муниципального образования «Муниципальный район «Заполярный район» следующих сельскохозяйственных муниципальных казенных предприятий как имущественных комплексов:</w:t>
      </w:r>
    </w:p>
    <w:p w:rsidR="000A28E3" w:rsidRPr="00813D43" w:rsidRDefault="000A28E3" w:rsidP="00C4335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>- муниципальное казенное предприятие «</w:t>
      </w:r>
      <w:proofErr w:type="spellStart"/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>Великовисочный</w:t>
      </w:r>
      <w:proofErr w:type="spellEnd"/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 xml:space="preserve"> животноводческий комплекс» (ОГРН 1128383001372); </w:t>
      </w:r>
    </w:p>
    <w:p w:rsidR="000A28E3" w:rsidRPr="00813D43" w:rsidRDefault="000A28E3" w:rsidP="00C4335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softHyphen/>
        <w:t>- муниципальное казенное предприятие «Омский животноводческий комплекс» (</w:t>
      </w:r>
      <w:proofErr w:type="gramStart"/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>ОГРН  1098383000430</w:t>
      </w:r>
      <w:proofErr w:type="gramEnd"/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0A28E3" w:rsidRPr="00813D43" w:rsidRDefault="000A28E3" w:rsidP="00C4335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>- муниципальное казенное предприятие «</w:t>
      </w:r>
      <w:proofErr w:type="spellStart"/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>Пешский</w:t>
      </w:r>
      <w:proofErr w:type="spellEnd"/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 xml:space="preserve"> животноводческий комплекс» (</w:t>
      </w:r>
      <w:proofErr w:type="gramStart"/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>ОГРН  1138383000700</w:t>
      </w:r>
      <w:proofErr w:type="gramEnd"/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8834D2" w:rsidRPr="00813D43" w:rsidRDefault="00036711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>В</w:t>
      </w:r>
      <w:r w:rsidR="008834D2" w:rsidRPr="00813D43">
        <w:rPr>
          <w:rFonts w:ascii="Times New Roman" w:hAnsi="Times New Roman"/>
          <w:sz w:val="26"/>
          <w:szCs w:val="26"/>
        </w:rPr>
        <w:t xml:space="preserve">се предлагаемые к передаче в собственность Заполярного района предприятия находятся в тяжелом финансовом положении, имеют отрицательный финансовый результат.  </w:t>
      </w:r>
    </w:p>
    <w:p w:rsidR="008834D2" w:rsidRPr="00813D43" w:rsidRDefault="008834D2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>Большая креди</w:t>
      </w:r>
      <w:r w:rsidR="00036711" w:rsidRPr="00813D43">
        <w:rPr>
          <w:rFonts w:ascii="Times New Roman" w:hAnsi="Times New Roman"/>
          <w:sz w:val="26"/>
          <w:szCs w:val="26"/>
        </w:rPr>
        <w:t>торская задолженность имеется у</w:t>
      </w:r>
      <w:r w:rsidRPr="00813D43">
        <w:rPr>
          <w:rFonts w:ascii="Times New Roman" w:hAnsi="Times New Roman"/>
          <w:sz w:val="26"/>
          <w:szCs w:val="26"/>
        </w:rPr>
        <w:t xml:space="preserve"> МКП «</w:t>
      </w:r>
      <w:proofErr w:type="spellStart"/>
      <w:r w:rsidRPr="00813D43">
        <w:rPr>
          <w:rFonts w:ascii="Times New Roman" w:hAnsi="Times New Roman"/>
          <w:sz w:val="26"/>
          <w:szCs w:val="26"/>
        </w:rPr>
        <w:t>Великовисочный</w:t>
      </w:r>
      <w:proofErr w:type="spellEnd"/>
      <w:r w:rsidRPr="00813D43">
        <w:rPr>
          <w:rFonts w:ascii="Times New Roman" w:hAnsi="Times New Roman"/>
          <w:sz w:val="26"/>
          <w:szCs w:val="26"/>
        </w:rPr>
        <w:t xml:space="preserve"> животноводческий комплекс» и МКП «</w:t>
      </w:r>
      <w:proofErr w:type="spellStart"/>
      <w:r w:rsidRPr="00813D43">
        <w:rPr>
          <w:rFonts w:ascii="Times New Roman" w:hAnsi="Times New Roman"/>
          <w:sz w:val="26"/>
          <w:szCs w:val="26"/>
        </w:rPr>
        <w:t>Пешский</w:t>
      </w:r>
      <w:proofErr w:type="spellEnd"/>
      <w:r w:rsidRPr="00813D43">
        <w:rPr>
          <w:rFonts w:ascii="Times New Roman" w:hAnsi="Times New Roman"/>
          <w:sz w:val="26"/>
          <w:szCs w:val="26"/>
        </w:rPr>
        <w:t xml:space="preserve"> животноводческий комплекс»</w:t>
      </w:r>
      <w:r w:rsidR="00036711" w:rsidRPr="00813D43">
        <w:rPr>
          <w:rFonts w:ascii="Times New Roman" w:hAnsi="Times New Roman"/>
          <w:sz w:val="26"/>
          <w:szCs w:val="26"/>
        </w:rPr>
        <w:t xml:space="preserve"> (информация приведена в табличной форме)</w:t>
      </w:r>
      <w:r w:rsidRPr="00813D43">
        <w:rPr>
          <w:rFonts w:ascii="Times New Roman" w:hAnsi="Times New Roman"/>
          <w:sz w:val="26"/>
          <w:szCs w:val="26"/>
        </w:rPr>
        <w:t xml:space="preserve">.  </w:t>
      </w:r>
    </w:p>
    <w:p w:rsidR="008834D2" w:rsidRPr="00813D43" w:rsidRDefault="008834D2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>В МКП «</w:t>
      </w:r>
      <w:proofErr w:type="spellStart"/>
      <w:r w:rsidRPr="00813D43">
        <w:rPr>
          <w:rFonts w:ascii="Times New Roman" w:hAnsi="Times New Roman"/>
          <w:sz w:val="26"/>
          <w:szCs w:val="26"/>
        </w:rPr>
        <w:t>Великовисочный</w:t>
      </w:r>
      <w:proofErr w:type="spellEnd"/>
      <w:r w:rsidRPr="00813D43">
        <w:rPr>
          <w:rFonts w:ascii="Times New Roman" w:hAnsi="Times New Roman"/>
          <w:sz w:val="26"/>
          <w:szCs w:val="26"/>
        </w:rPr>
        <w:t xml:space="preserve"> животноводческий комплекс» на счета предприятия наложен арест, на 31 января 2020 года остается не оплаченной налоговая задолженность за 4 квартал 2019 года.</w:t>
      </w:r>
    </w:p>
    <w:p w:rsidR="009D03F6" w:rsidRPr="00813D43" w:rsidRDefault="008834D2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lastRenderedPageBreak/>
        <w:t>На балансе МКП «Омский животноводческий комплекс» не числятся здания и сооружения. Предприятие арендует ангар для стоянки и ремонта тракторной техники.  МКП «Омский животноводческий комплекс» занимает ¼ часть старой фермы, арендуемой у СПК «Восход». На ферме отсутствует система канализации и транспортёр для автоматической уборки навоза, нет автоматического водоснабжения для поения скота. Ферма находится в аварийном состоянии и требует капитального ремонта, стоит на подпорках.</w:t>
      </w:r>
    </w:p>
    <w:p w:rsidR="00C4335B" w:rsidRDefault="00C4335B" w:rsidP="00813D4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34D2" w:rsidRPr="00813D43" w:rsidRDefault="008834D2" w:rsidP="00813D4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</w:t>
      </w:r>
      <w:r w:rsidRPr="00813D43">
        <w:rPr>
          <w:rFonts w:ascii="Times New Roman" w:hAnsi="Times New Roman"/>
          <w:sz w:val="26"/>
          <w:szCs w:val="26"/>
        </w:rPr>
        <w:t>по предприятиям</w:t>
      </w:r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состоянию на</w:t>
      </w:r>
      <w:r w:rsidRPr="00813D43">
        <w:rPr>
          <w:rFonts w:ascii="Times New Roman" w:hAnsi="Times New Roman"/>
          <w:sz w:val="26"/>
          <w:szCs w:val="26"/>
        </w:rPr>
        <w:t xml:space="preserve"> 31.12.2019 </w:t>
      </w:r>
    </w:p>
    <w:p w:rsidR="008834D2" w:rsidRPr="00813D43" w:rsidRDefault="008834D2" w:rsidP="00813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0"/>
        <w:gridCol w:w="1073"/>
        <w:gridCol w:w="1327"/>
        <w:gridCol w:w="1335"/>
        <w:gridCol w:w="2266"/>
      </w:tblGrid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13D43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13D43">
              <w:rPr>
                <w:rFonts w:ascii="Times New Roman" w:hAnsi="Times New Roman"/>
                <w:b/>
                <w:sz w:val="26"/>
                <w:szCs w:val="26"/>
              </w:rPr>
              <w:t>Омский ЖК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proofErr w:type="spellStart"/>
            <w:r w:rsidRPr="00813D43">
              <w:rPr>
                <w:rFonts w:ascii="Times New Roman" w:hAnsi="Times New Roman"/>
                <w:b/>
                <w:sz w:val="26"/>
                <w:szCs w:val="26"/>
              </w:rPr>
              <w:t>Пешский</w:t>
            </w:r>
            <w:proofErr w:type="spellEnd"/>
            <w:r w:rsidRPr="00813D43">
              <w:rPr>
                <w:rFonts w:ascii="Times New Roman" w:hAnsi="Times New Roman"/>
                <w:b/>
                <w:sz w:val="26"/>
                <w:szCs w:val="26"/>
              </w:rPr>
              <w:t xml:space="preserve"> ЖК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proofErr w:type="spellStart"/>
            <w:r w:rsidRPr="00813D43">
              <w:rPr>
                <w:rFonts w:ascii="Times New Roman" w:hAnsi="Times New Roman"/>
                <w:b/>
                <w:sz w:val="26"/>
                <w:szCs w:val="26"/>
              </w:rPr>
              <w:t>Великовисочный</w:t>
            </w:r>
            <w:proofErr w:type="spellEnd"/>
            <w:r w:rsidRPr="00813D43">
              <w:rPr>
                <w:rFonts w:ascii="Times New Roman" w:hAnsi="Times New Roman"/>
                <w:b/>
                <w:sz w:val="26"/>
                <w:szCs w:val="26"/>
              </w:rPr>
              <w:t xml:space="preserve"> ЖК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Среднесписочная численность сотрудников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41*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32,09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31,08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36,67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Основные средства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5 412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15 941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color w:val="000000"/>
                <w:sz w:val="26"/>
                <w:szCs w:val="26"/>
              </w:rPr>
              <w:t>17 820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Запасы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6 848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20 998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color w:val="000000"/>
                <w:sz w:val="26"/>
                <w:szCs w:val="26"/>
              </w:rPr>
              <w:t>23 276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Выручка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4 617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4 293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11 495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Себестоимость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11 459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13 886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36 794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Субсидия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5 543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6 967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22 280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Финансовый результат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- 1 411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- 3 099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- 3 254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1 130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1 355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6 829</w:t>
            </w:r>
          </w:p>
        </w:tc>
      </w:tr>
      <w:tr w:rsidR="008834D2" w:rsidRPr="00813D43" w:rsidTr="00C655E6">
        <w:tc>
          <w:tcPr>
            <w:tcW w:w="3570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1073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327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 xml:space="preserve">20 </w:t>
            </w:r>
          </w:p>
        </w:tc>
        <w:tc>
          <w:tcPr>
            <w:tcW w:w="1335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8 591</w:t>
            </w:r>
          </w:p>
        </w:tc>
        <w:tc>
          <w:tcPr>
            <w:tcW w:w="2266" w:type="dxa"/>
            <w:shd w:val="clear" w:color="auto" w:fill="auto"/>
          </w:tcPr>
          <w:p w:rsidR="008834D2" w:rsidRPr="00813D43" w:rsidRDefault="008834D2" w:rsidP="00813D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13D43">
              <w:rPr>
                <w:rFonts w:ascii="Times New Roman" w:hAnsi="Times New Roman"/>
                <w:sz w:val="26"/>
                <w:szCs w:val="26"/>
              </w:rPr>
              <w:t>32 142</w:t>
            </w:r>
          </w:p>
        </w:tc>
      </w:tr>
    </w:tbl>
    <w:p w:rsidR="008834D2" w:rsidRPr="00813D43" w:rsidRDefault="008834D2" w:rsidP="00813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3D43">
        <w:rPr>
          <w:rFonts w:ascii="Times New Roman" w:eastAsia="Times New Roman" w:hAnsi="Times New Roman"/>
          <w:sz w:val="26"/>
          <w:szCs w:val="26"/>
          <w:lang w:eastAsia="ru-RU"/>
        </w:rPr>
        <w:t>*в том числе 13 – сезонные рабочие</w:t>
      </w:r>
    </w:p>
    <w:p w:rsidR="008834D2" w:rsidRPr="00813D43" w:rsidRDefault="008834D2" w:rsidP="00813D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F71" w:rsidRPr="00813D43" w:rsidRDefault="000A28E3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>Мы отдаем себе отчет, что</w:t>
      </w:r>
      <w:r w:rsidR="00B71F71" w:rsidRPr="00813D43">
        <w:rPr>
          <w:rFonts w:ascii="Times New Roman" w:hAnsi="Times New Roman"/>
          <w:sz w:val="26"/>
          <w:szCs w:val="26"/>
        </w:rPr>
        <w:t xml:space="preserve"> после принятия решения</w:t>
      </w:r>
      <w:r w:rsidRPr="00813D43">
        <w:rPr>
          <w:rFonts w:ascii="Times New Roman" w:hAnsi="Times New Roman"/>
          <w:sz w:val="26"/>
          <w:szCs w:val="26"/>
        </w:rPr>
        <w:t xml:space="preserve"> о согласовании приема в собственность муниципальных казенных предприятий, в дальнейшем совместно с местной администрацией потребуется выработка комплекса мер по нормализации их финансового положения. </w:t>
      </w:r>
      <w:r w:rsidR="00AD36AB" w:rsidRPr="00813D43">
        <w:rPr>
          <w:rFonts w:ascii="Times New Roman" w:hAnsi="Times New Roman"/>
          <w:sz w:val="26"/>
          <w:szCs w:val="26"/>
        </w:rPr>
        <w:t>Одной из них</w:t>
      </w:r>
      <w:r w:rsidR="00B71F71" w:rsidRPr="00813D43">
        <w:rPr>
          <w:rFonts w:ascii="Times New Roman" w:hAnsi="Times New Roman"/>
          <w:sz w:val="26"/>
          <w:szCs w:val="26"/>
        </w:rPr>
        <w:t xml:space="preserve"> </w:t>
      </w:r>
      <w:r w:rsidR="00AD36AB" w:rsidRPr="00813D43">
        <w:rPr>
          <w:rFonts w:ascii="Times New Roman" w:hAnsi="Times New Roman"/>
          <w:sz w:val="26"/>
          <w:szCs w:val="26"/>
        </w:rPr>
        <w:t>должно стать финансовое обеспечение погашения кредиторской задолженност</w:t>
      </w:r>
      <w:r w:rsidR="004C40BC" w:rsidRPr="00813D43">
        <w:rPr>
          <w:rFonts w:ascii="Times New Roman" w:hAnsi="Times New Roman"/>
          <w:sz w:val="26"/>
          <w:szCs w:val="26"/>
        </w:rPr>
        <w:t>и</w:t>
      </w:r>
      <w:r w:rsidR="00B71F71" w:rsidRPr="00813D43">
        <w:rPr>
          <w:rFonts w:ascii="Times New Roman" w:hAnsi="Times New Roman"/>
          <w:sz w:val="26"/>
          <w:szCs w:val="26"/>
        </w:rPr>
        <w:t xml:space="preserve">, источником которого уже вне всякого сомнения должен будет выступить бюджет Заполярного района, поскольку после принятия предприятий бремя собственника </w:t>
      </w:r>
      <w:r w:rsidR="005C3B8A" w:rsidRPr="00813D43">
        <w:rPr>
          <w:rFonts w:ascii="Times New Roman" w:hAnsi="Times New Roman"/>
          <w:sz w:val="26"/>
          <w:szCs w:val="26"/>
        </w:rPr>
        <w:t xml:space="preserve">их имущества </w:t>
      </w:r>
      <w:r w:rsidR="00B71F71" w:rsidRPr="00813D43">
        <w:rPr>
          <w:rFonts w:ascii="Times New Roman" w:hAnsi="Times New Roman"/>
          <w:sz w:val="26"/>
          <w:szCs w:val="26"/>
        </w:rPr>
        <w:t>будет возложено на муниципальный район.</w:t>
      </w:r>
    </w:p>
    <w:p w:rsidR="009D03F6" w:rsidRPr="00813D43" w:rsidRDefault="00B71F71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 xml:space="preserve">Хотим проинформировать Вас о накопленном положительном опыте по передаче унитарных предприятий как имущественных комплексов от одного публичного собственника на территории Ненецкого автономного округа к другому. </w:t>
      </w:r>
    </w:p>
    <w:p w:rsidR="00B71F71" w:rsidRPr="00813D43" w:rsidRDefault="00B71F71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>В 2007 году при передаче от органов государственной власти округа ГУП НАО «</w:t>
      </w:r>
      <w:proofErr w:type="spellStart"/>
      <w:r w:rsidRPr="00813D43">
        <w:rPr>
          <w:rFonts w:ascii="Times New Roman" w:hAnsi="Times New Roman"/>
          <w:sz w:val="26"/>
          <w:szCs w:val="26"/>
        </w:rPr>
        <w:t>Окржилкомсервис</w:t>
      </w:r>
      <w:proofErr w:type="spellEnd"/>
      <w:r w:rsidRPr="00813D43">
        <w:rPr>
          <w:rFonts w:ascii="Times New Roman" w:hAnsi="Times New Roman"/>
          <w:sz w:val="26"/>
          <w:szCs w:val="26"/>
        </w:rPr>
        <w:t>» (в последующем наименования изменено на МП ЗР «</w:t>
      </w:r>
      <w:proofErr w:type="spellStart"/>
      <w:r w:rsidRPr="00813D43">
        <w:rPr>
          <w:rFonts w:ascii="Times New Roman" w:hAnsi="Times New Roman"/>
          <w:sz w:val="26"/>
          <w:szCs w:val="26"/>
        </w:rPr>
        <w:t>Севержилкомсервис</w:t>
      </w:r>
      <w:proofErr w:type="spellEnd"/>
      <w:r w:rsidRPr="00813D43">
        <w:rPr>
          <w:rFonts w:ascii="Times New Roman" w:hAnsi="Times New Roman"/>
          <w:sz w:val="26"/>
          <w:szCs w:val="26"/>
        </w:rPr>
        <w:t xml:space="preserve">») по инициативе депутатов Совета Заполярного района и </w:t>
      </w:r>
      <w:r w:rsidRPr="00813D43">
        <w:rPr>
          <w:rFonts w:ascii="Times New Roman" w:hAnsi="Times New Roman"/>
          <w:sz w:val="26"/>
          <w:szCs w:val="26"/>
        </w:rPr>
        <w:lastRenderedPageBreak/>
        <w:t xml:space="preserve">решению руководства Ненецкого автономного округа кредиторская задолженность предприятия на дату передачи на сумму более ста миллионов рублей была погашена за счет </w:t>
      </w:r>
      <w:r w:rsidR="005C3B8A" w:rsidRPr="00813D43">
        <w:rPr>
          <w:rFonts w:ascii="Times New Roman" w:hAnsi="Times New Roman"/>
          <w:sz w:val="26"/>
          <w:szCs w:val="26"/>
        </w:rPr>
        <w:t xml:space="preserve">средств </w:t>
      </w:r>
      <w:r w:rsidRPr="00813D43">
        <w:rPr>
          <w:rFonts w:ascii="Times New Roman" w:hAnsi="Times New Roman"/>
          <w:sz w:val="26"/>
          <w:szCs w:val="26"/>
        </w:rPr>
        <w:t xml:space="preserve">окружного бюджета. </w:t>
      </w:r>
    </w:p>
    <w:p w:rsidR="000438F8" w:rsidRPr="00813D43" w:rsidRDefault="000438F8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>Такая схема реализована в связи с принципиальной позицией районных депутатов об отказе в согласовании приема в собственность муниципального образования юридического лица, об</w:t>
      </w:r>
      <w:r w:rsidR="00036711" w:rsidRPr="00813D43">
        <w:rPr>
          <w:rFonts w:ascii="Times New Roman" w:hAnsi="Times New Roman"/>
          <w:sz w:val="26"/>
          <w:szCs w:val="26"/>
        </w:rPr>
        <w:t>ремененного крупными долгами.</w:t>
      </w:r>
    </w:p>
    <w:p w:rsidR="005C3B8A" w:rsidRPr="00813D43" w:rsidRDefault="005C3B8A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>Такое решение позволило как нормализовать деятельность унитарного предприятия, так и создать некую «точку отсчета», когда за дальнейшее финансовое состояние экономически здорового предприятия стал отвечать иной орган публичной власти.</w:t>
      </w:r>
    </w:p>
    <w:p w:rsidR="00B71F71" w:rsidRPr="00813D43" w:rsidRDefault="00B71F71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>Безусловно, что текущая ситуация качественно отличается от приведенного примера (принимается имущество сельских поселений Заполярного района</w:t>
      </w:r>
      <w:r w:rsidR="000438F8" w:rsidRPr="00813D43">
        <w:rPr>
          <w:rFonts w:ascii="Times New Roman" w:hAnsi="Times New Roman"/>
          <w:sz w:val="26"/>
          <w:szCs w:val="26"/>
        </w:rPr>
        <w:t>), однако учитывая</w:t>
      </w:r>
      <w:r w:rsidRPr="00813D43">
        <w:rPr>
          <w:rFonts w:ascii="Times New Roman" w:hAnsi="Times New Roman"/>
          <w:sz w:val="26"/>
          <w:szCs w:val="26"/>
        </w:rPr>
        <w:t xml:space="preserve"> </w:t>
      </w:r>
      <w:r w:rsidR="005C3B8A" w:rsidRPr="00813D43">
        <w:rPr>
          <w:rFonts w:ascii="Times New Roman" w:hAnsi="Times New Roman"/>
          <w:sz w:val="26"/>
          <w:szCs w:val="26"/>
        </w:rPr>
        <w:t>бюджетные возможности Заполярного района, а тем более его поселений</w:t>
      </w:r>
      <w:r w:rsidRPr="00813D43">
        <w:rPr>
          <w:rFonts w:ascii="Times New Roman" w:hAnsi="Times New Roman"/>
          <w:sz w:val="26"/>
          <w:szCs w:val="26"/>
        </w:rPr>
        <w:t xml:space="preserve"> </w:t>
      </w:r>
      <w:r w:rsidR="00AD36AB" w:rsidRPr="00813D43">
        <w:rPr>
          <w:rFonts w:ascii="Times New Roman" w:hAnsi="Times New Roman"/>
          <w:sz w:val="26"/>
          <w:szCs w:val="26"/>
        </w:rPr>
        <w:t>финансирование</w:t>
      </w:r>
      <w:r w:rsidR="005C3B8A" w:rsidRPr="00813D43">
        <w:rPr>
          <w:rFonts w:ascii="Times New Roman" w:hAnsi="Times New Roman"/>
          <w:sz w:val="26"/>
          <w:szCs w:val="26"/>
        </w:rPr>
        <w:t xml:space="preserve"> всех расходов, связанных с нормализацией финансового положения предприятий, ляжет тяжелым бременем на районный бюджет.</w:t>
      </w:r>
    </w:p>
    <w:p w:rsidR="005C3B8A" w:rsidRPr="00813D43" w:rsidRDefault="002D61EB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 xml:space="preserve">Как неоднократно отмечал Конституционный Суд Российской Федерации, местный бюджет не существует изолированно, а является составной частью финансовой системы Российской Федерации; недостаточность собственных доходных источников на уровне муниципальных образований влечет обязанность органов государственной власти осуществлять в целях сбалансированности местных бюджетов надлежащее бюджетное регулирование (Постановление от 17 июня 2004 года </w:t>
      </w:r>
      <w:r w:rsidR="00813D43">
        <w:rPr>
          <w:rFonts w:ascii="Times New Roman" w:hAnsi="Times New Roman"/>
          <w:sz w:val="26"/>
          <w:szCs w:val="26"/>
        </w:rPr>
        <w:t>№</w:t>
      </w:r>
      <w:r w:rsidRPr="00813D43">
        <w:rPr>
          <w:rFonts w:ascii="Times New Roman" w:hAnsi="Times New Roman"/>
          <w:sz w:val="26"/>
          <w:szCs w:val="26"/>
        </w:rPr>
        <w:t xml:space="preserve"> 12-П; </w:t>
      </w:r>
      <w:r w:rsidR="00813D43">
        <w:rPr>
          <w:rFonts w:ascii="Times New Roman" w:hAnsi="Times New Roman"/>
          <w:sz w:val="26"/>
          <w:szCs w:val="26"/>
        </w:rPr>
        <w:t>О</w:t>
      </w:r>
      <w:r w:rsidRPr="00813D43">
        <w:rPr>
          <w:rFonts w:ascii="Times New Roman" w:hAnsi="Times New Roman"/>
          <w:sz w:val="26"/>
          <w:szCs w:val="26"/>
        </w:rPr>
        <w:t>пределени</w:t>
      </w:r>
      <w:r w:rsidR="00813D43">
        <w:rPr>
          <w:rFonts w:ascii="Times New Roman" w:hAnsi="Times New Roman"/>
          <w:sz w:val="26"/>
          <w:szCs w:val="26"/>
        </w:rPr>
        <w:t>я</w:t>
      </w:r>
      <w:r w:rsidRPr="00813D43">
        <w:rPr>
          <w:rFonts w:ascii="Times New Roman" w:hAnsi="Times New Roman"/>
          <w:sz w:val="26"/>
          <w:szCs w:val="26"/>
        </w:rPr>
        <w:t xml:space="preserve"> от 12 апреля 2005 года </w:t>
      </w:r>
      <w:r w:rsidR="00813D43">
        <w:rPr>
          <w:rFonts w:ascii="Times New Roman" w:hAnsi="Times New Roman"/>
          <w:sz w:val="26"/>
          <w:szCs w:val="26"/>
        </w:rPr>
        <w:t>№</w:t>
      </w:r>
      <w:r w:rsidRPr="00813D43">
        <w:rPr>
          <w:rFonts w:ascii="Times New Roman" w:hAnsi="Times New Roman"/>
          <w:sz w:val="26"/>
          <w:szCs w:val="26"/>
        </w:rPr>
        <w:t xml:space="preserve"> 142-О, от 13 июня 2006 года </w:t>
      </w:r>
      <w:r w:rsidR="00813D43">
        <w:rPr>
          <w:rFonts w:ascii="Times New Roman" w:hAnsi="Times New Roman"/>
          <w:sz w:val="26"/>
          <w:szCs w:val="26"/>
        </w:rPr>
        <w:t>№</w:t>
      </w:r>
      <w:r w:rsidRPr="00813D43">
        <w:rPr>
          <w:rFonts w:ascii="Times New Roman" w:hAnsi="Times New Roman"/>
          <w:sz w:val="26"/>
          <w:szCs w:val="26"/>
        </w:rPr>
        <w:t xml:space="preserve"> 194-О, от 2 ноября 2006 года </w:t>
      </w:r>
      <w:r w:rsidR="00813D43">
        <w:rPr>
          <w:rFonts w:ascii="Times New Roman" w:hAnsi="Times New Roman"/>
          <w:sz w:val="26"/>
          <w:szCs w:val="26"/>
        </w:rPr>
        <w:t>№</w:t>
      </w:r>
      <w:r w:rsidRPr="00813D43">
        <w:rPr>
          <w:rFonts w:ascii="Times New Roman" w:hAnsi="Times New Roman"/>
          <w:sz w:val="26"/>
          <w:szCs w:val="26"/>
        </w:rPr>
        <w:t xml:space="preserve"> 540-О и от 10 октября 2013 года </w:t>
      </w:r>
      <w:r w:rsidR="00813D43">
        <w:rPr>
          <w:rFonts w:ascii="Times New Roman" w:hAnsi="Times New Roman"/>
          <w:sz w:val="26"/>
          <w:szCs w:val="26"/>
        </w:rPr>
        <w:t>№</w:t>
      </w:r>
      <w:r w:rsidRPr="00813D43">
        <w:rPr>
          <w:rFonts w:ascii="Times New Roman" w:hAnsi="Times New Roman"/>
          <w:sz w:val="26"/>
          <w:szCs w:val="26"/>
        </w:rPr>
        <w:t xml:space="preserve"> 1591-О).</w:t>
      </w:r>
      <w:r w:rsidR="005C3B8A" w:rsidRPr="00813D43">
        <w:rPr>
          <w:rFonts w:ascii="Times New Roman" w:hAnsi="Times New Roman"/>
          <w:sz w:val="26"/>
          <w:szCs w:val="26"/>
        </w:rPr>
        <w:t xml:space="preserve"> </w:t>
      </w:r>
    </w:p>
    <w:p w:rsidR="00C4335B" w:rsidRDefault="002D61EB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 xml:space="preserve">Мы прекрасно осознаем значимость успешного функционирования муниципальных казенных предприятий – сельскохозяйственных товаропроизводителей в сельских поселениях: они как обеспечивают продовольственную безопасность в </w:t>
      </w:r>
      <w:r w:rsidR="008834D2" w:rsidRPr="00813D43">
        <w:rPr>
          <w:rFonts w:ascii="Times New Roman" w:hAnsi="Times New Roman"/>
          <w:sz w:val="26"/>
          <w:szCs w:val="26"/>
        </w:rPr>
        <w:t xml:space="preserve">населенных пунктах, так и выступают </w:t>
      </w:r>
      <w:r w:rsidR="000438F8" w:rsidRPr="00813D43">
        <w:rPr>
          <w:rFonts w:ascii="Times New Roman" w:hAnsi="Times New Roman"/>
          <w:sz w:val="26"/>
          <w:szCs w:val="26"/>
        </w:rPr>
        <w:t>одними из основных</w:t>
      </w:r>
      <w:r w:rsidR="008834D2" w:rsidRPr="00813D43">
        <w:rPr>
          <w:rFonts w:ascii="Times New Roman" w:hAnsi="Times New Roman"/>
          <w:sz w:val="26"/>
          <w:szCs w:val="26"/>
        </w:rPr>
        <w:t xml:space="preserve"> </w:t>
      </w:r>
      <w:r w:rsidR="000438F8" w:rsidRPr="00813D43">
        <w:rPr>
          <w:rFonts w:ascii="Times New Roman" w:hAnsi="Times New Roman"/>
          <w:sz w:val="26"/>
          <w:szCs w:val="26"/>
        </w:rPr>
        <w:t>работодателей</w:t>
      </w:r>
      <w:r w:rsidR="008834D2" w:rsidRPr="00813D43">
        <w:rPr>
          <w:rFonts w:ascii="Times New Roman" w:hAnsi="Times New Roman"/>
          <w:sz w:val="26"/>
          <w:szCs w:val="26"/>
        </w:rPr>
        <w:t xml:space="preserve"> для их жителей. </w:t>
      </w:r>
    </w:p>
    <w:p w:rsidR="002D61EB" w:rsidRPr="00813D43" w:rsidRDefault="000438F8" w:rsidP="00C4335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3D43">
        <w:rPr>
          <w:rFonts w:ascii="Times New Roman" w:hAnsi="Times New Roman"/>
          <w:sz w:val="26"/>
          <w:szCs w:val="26"/>
        </w:rPr>
        <w:t>Принимая во внимание</w:t>
      </w:r>
      <w:r w:rsidR="008834D2" w:rsidRPr="00813D43">
        <w:rPr>
          <w:rFonts w:ascii="Times New Roman" w:hAnsi="Times New Roman"/>
          <w:sz w:val="26"/>
          <w:szCs w:val="26"/>
        </w:rPr>
        <w:t xml:space="preserve">, что достижение такой цели есть общая задача органов государственной власти всех уровней, обращаемся к Вам с просьбой рассмотреть вопрос о предоставлении финансовой помощи в </w:t>
      </w:r>
      <w:r w:rsidR="00AD36AB" w:rsidRPr="00813D43">
        <w:rPr>
          <w:rFonts w:ascii="Times New Roman" w:hAnsi="Times New Roman"/>
          <w:sz w:val="26"/>
          <w:szCs w:val="26"/>
        </w:rPr>
        <w:t xml:space="preserve">целях погашения кредиторской задолженности унитарных предприятий, которая имеется к дате изменения собственника, </w:t>
      </w:r>
      <w:r w:rsidR="008834D2" w:rsidRPr="00813D43">
        <w:rPr>
          <w:rFonts w:ascii="Times New Roman" w:hAnsi="Times New Roman"/>
          <w:sz w:val="26"/>
          <w:szCs w:val="26"/>
        </w:rPr>
        <w:t xml:space="preserve">за счет средств окружного бюджета.  </w:t>
      </w:r>
    </w:p>
    <w:p w:rsidR="009D03F6" w:rsidRDefault="009D03F6" w:rsidP="00C4335B">
      <w:pPr>
        <w:spacing w:line="360" w:lineRule="auto"/>
        <w:ind w:firstLine="851"/>
        <w:jc w:val="both"/>
      </w:pPr>
    </w:p>
    <w:sectPr w:rsidR="009D03F6" w:rsidSect="00C36D9E">
      <w:headerReference w:type="default" r:id="rId8"/>
      <w:footerReference w:type="default" r:id="rId9"/>
      <w:pgSz w:w="11906" w:h="16838"/>
      <w:pgMar w:top="1105" w:right="850" w:bottom="1134" w:left="1418" w:header="426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F5" w:rsidRDefault="000072F5" w:rsidP="009D03F6">
      <w:pPr>
        <w:spacing w:after="0" w:line="240" w:lineRule="auto"/>
      </w:pPr>
      <w:r>
        <w:separator/>
      </w:r>
    </w:p>
  </w:endnote>
  <w:endnote w:type="continuationSeparator" w:id="0">
    <w:p w:rsidR="000072F5" w:rsidRDefault="000072F5" w:rsidP="009D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9E" w:rsidRPr="00C36D9E" w:rsidRDefault="00C56F37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F5" w:rsidRDefault="000072F5" w:rsidP="009D03F6">
      <w:pPr>
        <w:spacing w:after="0" w:line="240" w:lineRule="auto"/>
      </w:pPr>
      <w:r>
        <w:separator/>
      </w:r>
    </w:p>
  </w:footnote>
  <w:footnote w:type="continuationSeparator" w:id="0">
    <w:p w:rsidR="000072F5" w:rsidRDefault="000072F5" w:rsidP="009D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9E" w:rsidRPr="00C56F37" w:rsidRDefault="00460079" w:rsidP="00C56F37">
    <w:pPr>
      <w:pStyle w:val="a3"/>
    </w:pPr>
    <w:r w:rsidRPr="00C56F3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0E4F"/>
    <w:multiLevelType w:val="hybridMultilevel"/>
    <w:tmpl w:val="4DC26992"/>
    <w:lvl w:ilvl="0" w:tplc="97622F30">
      <w:start w:val="3"/>
      <w:numFmt w:val="decimal"/>
      <w:lvlText w:val="%1."/>
      <w:lvlJc w:val="left"/>
      <w:pPr>
        <w:ind w:left="928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463ABE"/>
    <w:multiLevelType w:val="hybridMultilevel"/>
    <w:tmpl w:val="A8DC77F6"/>
    <w:lvl w:ilvl="0" w:tplc="6F187AFA">
      <w:start w:val="1"/>
      <w:numFmt w:val="decimal"/>
      <w:lvlText w:val="%1."/>
      <w:lvlJc w:val="left"/>
      <w:pPr>
        <w:ind w:left="332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F6"/>
    <w:rsid w:val="000072F5"/>
    <w:rsid w:val="00036711"/>
    <w:rsid w:val="000438F8"/>
    <w:rsid w:val="000A28E3"/>
    <w:rsid w:val="000A432F"/>
    <w:rsid w:val="00190EFC"/>
    <w:rsid w:val="002D61EB"/>
    <w:rsid w:val="00460079"/>
    <w:rsid w:val="004C40BC"/>
    <w:rsid w:val="005C3B8A"/>
    <w:rsid w:val="00682423"/>
    <w:rsid w:val="006E31AD"/>
    <w:rsid w:val="00813D43"/>
    <w:rsid w:val="008834D2"/>
    <w:rsid w:val="0090216E"/>
    <w:rsid w:val="009B6CE0"/>
    <w:rsid w:val="009D03F6"/>
    <w:rsid w:val="00A019E8"/>
    <w:rsid w:val="00AD36AB"/>
    <w:rsid w:val="00B71F71"/>
    <w:rsid w:val="00C4335B"/>
    <w:rsid w:val="00C56F37"/>
    <w:rsid w:val="00D24CC0"/>
    <w:rsid w:val="00D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32900-31CB-4F1E-A649-8FDEBD1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3F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D0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03F6"/>
    <w:rPr>
      <w:rFonts w:ascii="Calibri" w:eastAsia="Calibri" w:hAnsi="Calibri" w:cs="Times New Roman"/>
    </w:rPr>
  </w:style>
  <w:style w:type="paragraph" w:customStyle="1" w:styleId="ConsPlusNormal">
    <w:name w:val="ConsPlusNormal"/>
    <w:rsid w:val="009D03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0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4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№48</dc:title>
  <dc:subject>сессия № 5</dc:subject>
  <dc:creator>Администрация ЗР</dc:creator>
  <cp:keywords/>
  <dc:description>4-79-41</dc:description>
  <cp:lastModifiedBy>Шарипова Екатерина Григорьевна</cp:lastModifiedBy>
  <cp:revision>4</cp:revision>
  <cp:lastPrinted>2020-03-19T14:12:00Z</cp:lastPrinted>
  <dcterms:created xsi:type="dcterms:W3CDTF">2020-03-18T10:19:00Z</dcterms:created>
  <dcterms:modified xsi:type="dcterms:W3CDTF">2020-03-19T14:14:00Z</dcterms:modified>
</cp:coreProperties>
</file>