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CC" w:rsidRDefault="00A608CC" w:rsidP="00A608CC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44240CD1" wp14:editId="360C79D4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8CC" w:rsidRDefault="00A608CC" w:rsidP="00A608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0422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62047E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50422C">
        <w:rPr>
          <w:b/>
          <w:sz w:val="30"/>
        </w:rPr>
        <w:t xml:space="preserve"> </w:t>
      </w:r>
      <w:r w:rsidR="0062047E">
        <w:rPr>
          <w:b/>
          <w:sz w:val="30"/>
        </w:rPr>
        <w:t>Ненецкого автономного округа»</w:t>
      </w:r>
    </w:p>
    <w:p w:rsidR="00A608CC" w:rsidRDefault="00A608CC" w:rsidP="00A608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608CC" w:rsidRDefault="00A608CC" w:rsidP="00A608CC">
      <w:pPr>
        <w:spacing w:before="200" w:after="280"/>
        <w:jc w:val="center"/>
        <w:rPr>
          <w:b/>
          <w:sz w:val="28"/>
          <w:szCs w:val="28"/>
        </w:rPr>
      </w:pPr>
    </w:p>
    <w:p w:rsidR="00A608CC" w:rsidRDefault="00A608CC" w:rsidP="00A608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EA70B5">
        <w:rPr>
          <w:b/>
          <w:sz w:val="28"/>
          <w:szCs w:val="28"/>
          <w:u w:val="single"/>
        </w:rPr>
        <w:t>31</w:t>
      </w:r>
      <w:r w:rsidR="00321199">
        <w:rPr>
          <w:b/>
          <w:sz w:val="28"/>
          <w:szCs w:val="28"/>
          <w:u w:val="single"/>
        </w:rPr>
        <w:t>.0</w:t>
      </w:r>
      <w:r w:rsidR="00EA70B5">
        <w:rPr>
          <w:b/>
          <w:sz w:val="28"/>
          <w:szCs w:val="28"/>
          <w:u w:val="single"/>
        </w:rPr>
        <w:t>3</w:t>
      </w:r>
      <w:r w:rsidR="00321199">
        <w:rPr>
          <w:b/>
          <w:sz w:val="28"/>
          <w:szCs w:val="28"/>
          <w:u w:val="single"/>
        </w:rPr>
        <w:t>.20</w:t>
      </w:r>
      <w:r w:rsidR="00F21443">
        <w:rPr>
          <w:b/>
          <w:sz w:val="28"/>
          <w:szCs w:val="28"/>
          <w:u w:val="single"/>
        </w:rPr>
        <w:t>2</w:t>
      </w:r>
      <w:r w:rsidR="0062047E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EA70B5">
        <w:rPr>
          <w:b/>
          <w:sz w:val="28"/>
          <w:szCs w:val="28"/>
          <w:u w:val="single"/>
        </w:rPr>
        <w:t>64</w:t>
      </w:r>
      <w:r>
        <w:rPr>
          <w:b/>
          <w:sz w:val="28"/>
          <w:szCs w:val="28"/>
          <w:u w:val="single"/>
        </w:rPr>
        <w:t xml:space="preserve">п </w:t>
      </w:r>
    </w:p>
    <w:p w:rsidR="00A608CC" w:rsidRDefault="0062047E" w:rsidP="00A608C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A608CC">
        <w:rPr>
          <w:sz w:val="20"/>
        </w:rPr>
        <w:t>п. Искателей</w:t>
      </w:r>
    </w:p>
    <w:p w:rsidR="00A608CC" w:rsidRPr="005072BC" w:rsidRDefault="000B5A4B" w:rsidP="00A608CC">
      <w:pPr>
        <w:overflowPunct/>
        <w:autoSpaceDE/>
        <w:autoSpaceDN/>
        <w:adjustRightInd/>
        <w:ind w:right="485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О внесении изменени</w:t>
      </w:r>
      <w:r w:rsidR="00B60F6D">
        <w:rPr>
          <w:rFonts w:eastAsia="Calibri"/>
          <w:bCs/>
          <w:w w:val="105"/>
          <w:sz w:val="22"/>
          <w:szCs w:val="22"/>
          <w:lang w:eastAsia="en-US"/>
        </w:rPr>
        <w:t>й</w:t>
      </w:r>
      <w:r>
        <w:rPr>
          <w:rFonts w:eastAsia="Calibri"/>
          <w:bCs/>
          <w:w w:val="105"/>
          <w:sz w:val="22"/>
          <w:szCs w:val="22"/>
          <w:lang w:eastAsia="en-US"/>
        </w:rPr>
        <w:t xml:space="preserve"> в </w:t>
      </w:r>
      <w:r w:rsidR="00C25DB8">
        <w:rPr>
          <w:rFonts w:eastAsia="Calibri"/>
          <w:bCs/>
          <w:w w:val="105"/>
          <w:sz w:val="22"/>
          <w:szCs w:val="22"/>
          <w:lang w:eastAsia="en-US"/>
        </w:rPr>
        <w:t>п</w:t>
      </w:r>
      <w:r w:rsidR="00280679">
        <w:rPr>
          <w:rFonts w:eastAsia="Calibri"/>
          <w:bCs/>
          <w:w w:val="105"/>
          <w:sz w:val="22"/>
          <w:szCs w:val="22"/>
          <w:lang w:eastAsia="en-US"/>
        </w:rPr>
        <w:t>остановление от 28.03.2018 № 60п «Об утверждении Порядка разработки, утверждения и реализации муниципальных программ муниципального образования «Муниципальный район «Заполярный район»</w:t>
      </w:r>
      <w:r w:rsidR="00A608CC" w:rsidRPr="005072BC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F0B83" w:rsidRDefault="00A608CC" w:rsidP="00A608CC">
      <w:pPr>
        <w:overflowPunct/>
        <w:ind w:firstLine="709"/>
        <w:jc w:val="both"/>
        <w:rPr>
          <w:sz w:val="26"/>
          <w:szCs w:val="26"/>
        </w:rPr>
      </w:pPr>
      <w:r w:rsidRPr="005F0B83">
        <w:rPr>
          <w:color w:val="000000" w:themeColor="text1"/>
          <w:sz w:val="26"/>
          <w:szCs w:val="26"/>
        </w:rPr>
        <w:t xml:space="preserve">В соответствии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со </w:t>
      </w:r>
      <w:hyperlink r:id="rId9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статьей 179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5F0B83">
        <w:rPr>
          <w:color w:val="000000" w:themeColor="text1"/>
          <w:sz w:val="26"/>
          <w:szCs w:val="26"/>
        </w:rPr>
        <w:t xml:space="preserve">Бюджетного кодекса Российской Федерации,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Федеральным </w:t>
      </w:r>
      <w:hyperlink r:id="rId10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законом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5F0B83">
          <w:rPr>
            <w:rFonts w:eastAsiaTheme="minorHAnsi"/>
            <w:color w:val="000000" w:themeColor="text1"/>
            <w:sz w:val="26"/>
            <w:szCs w:val="26"/>
            <w:lang w:eastAsia="en-US"/>
          </w:rPr>
          <w:t>Уставом</w:t>
        </w:r>
      </w:hyperlink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 xml:space="preserve"> муниципального образования «Муниципальный район «Заполярный район»</w:t>
      </w:r>
      <w:r w:rsidR="0062047E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Ненецкого автономного округа</w:t>
      </w:r>
      <w:r w:rsidRPr="005F0B83">
        <w:rPr>
          <w:color w:val="000000" w:themeColor="text1"/>
          <w:sz w:val="26"/>
          <w:szCs w:val="26"/>
        </w:rPr>
        <w:t xml:space="preserve"> Администрация муниципального района </w:t>
      </w:r>
      <w:r w:rsidRPr="005F0B83">
        <w:rPr>
          <w:sz w:val="26"/>
          <w:szCs w:val="26"/>
        </w:rPr>
        <w:t xml:space="preserve">«Заполярный район» </w:t>
      </w:r>
      <w:r w:rsidR="0062047E">
        <w:rPr>
          <w:sz w:val="26"/>
          <w:szCs w:val="26"/>
        </w:rPr>
        <w:t xml:space="preserve">Ненецкого автономного округа» </w:t>
      </w:r>
      <w:r w:rsidRPr="005F0B83">
        <w:rPr>
          <w:sz w:val="26"/>
          <w:szCs w:val="26"/>
        </w:rPr>
        <w:t>ПОСТАНОВЛЯЕТ:</w:t>
      </w:r>
    </w:p>
    <w:p w:rsidR="00A608CC" w:rsidRPr="005F0B83" w:rsidRDefault="00A608CC" w:rsidP="00A608CC">
      <w:pPr>
        <w:overflowPunct/>
        <w:ind w:firstLine="709"/>
        <w:jc w:val="both"/>
        <w:rPr>
          <w:sz w:val="26"/>
          <w:szCs w:val="26"/>
        </w:rPr>
      </w:pPr>
    </w:p>
    <w:p w:rsidR="00280679" w:rsidRDefault="00280679" w:rsidP="00A608CC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7 </w:t>
      </w:r>
      <w:r w:rsidR="00C25DB8">
        <w:rPr>
          <w:sz w:val="26"/>
          <w:szCs w:val="26"/>
        </w:rPr>
        <w:t>п</w:t>
      </w:r>
      <w:r>
        <w:rPr>
          <w:sz w:val="26"/>
          <w:szCs w:val="26"/>
        </w:rPr>
        <w:t>остановления</w:t>
      </w:r>
      <w:r w:rsidR="00C25DB8">
        <w:rPr>
          <w:sz w:val="26"/>
          <w:szCs w:val="26"/>
        </w:rPr>
        <w:t xml:space="preserve"> </w:t>
      </w:r>
      <w:r w:rsidR="00C25DB8" w:rsidRPr="00922386">
        <w:rPr>
          <w:sz w:val="26"/>
          <w:szCs w:val="26"/>
        </w:rPr>
        <w:t xml:space="preserve">Администрации Заполярного района </w:t>
      </w:r>
      <w:r w:rsidR="00C25DB8">
        <w:rPr>
          <w:sz w:val="26"/>
          <w:szCs w:val="26"/>
        </w:rPr>
        <w:br/>
      </w:r>
      <w:r w:rsidR="00C25DB8" w:rsidRPr="00922386">
        <w:rPr>
          <w:sz w:val="26"/>
          <w:szCs w:val="26"/>
        </w:rPr>
        <w:t>от 28.</w:t>
      </w:r>
      <w:r w:rsidR="00C25DB8" w:rsidRPr="00C25DB8">
        <w:rPr>
          <w:sz w:val="26"/>
          <w:szCs w:val="26"/>
        </w:rPr>
        <w:t>03.2018 № 60п</w:t>
      </w:r>
      <w:r w:rsidR="00C25DB8" w:rsidRPr="00C25DB8">
        <w:rPr>
          <w:rFonts w:eastAsia="Calibri"/>
          <w:bCs/>
          <w:w w:val="105"/>
          <w:sz w:val="26"/>
          <w:szCs w:val="26"/>
          <w:lang w:eastAsia="en-US"/>
        </w:rPr>
        <w:t xml:space="preserve"> «Об утверждении Порядка разработки, утверждения и реализации муниципальных программ муниципального образования «Муниципальный район «Заполярный район» (с</w:t>
      </w:r>
      <w:r w:rsidR="00C25DB8">
        <w:rPr>
          <w:rFonts w:eastAsia="Calibri"/>
          <w:bCs/>
          <w:w w:val="105"/>
          <w:sz w:val="26"/>
          <w:szCs w:val="26"/>
          <w:lang w:eastAsia="en-US"/>
        </w:rPr>
        <w:t xml:space="preserve"> изменениями, внесенными постановлениями от 27.06.2018 № 118п, от 02.07.2019 № 104п, от 15.08.2019 №132п, от 02.02.2021 № 26п, от 02.06.2021 № 126п) (далее-постановление)</w:t>
      </w:r>
      <w:r>
        <w:rPr>
          <w:sz w:val="26"/>
          <w:szCs w:val="26"/>
        </w:rPr>
        <w:t xml:space="preserve"> изложить в новой редакции:</w:t>
      </w:r>
    </w:p>
    <w:p w:rsidR="00280679" w:rsidRDefault="00280679" w:rsidP="0028067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«</w:t>
      </w:r>
      <w:r>
        <w:rPr>
          <w:rFonts w:eastAsiaTheme="minorHAnsi"/>
          <w:sz w:val="26"/>
          <w:szCs w:val="26"/>
          <w:lang w:eastAsia="en-US"/>
        </w:rPr>
        <w:t>Контроль за исполнением настоящего постановления возложить на заместителя главы Администрации муниципального района «Заполярный район» Ненецкого автономного округа» по инфрастр</w:t>
      </w:r>
      <w:r w:rsidR="00985795">
        <w:rPr>
          <w:rFonts w:eastAsiaTheme="minorHAnsi"/>
          <w:sz w:val="26"/>
          <w:szCs w:val="26"/>
          <w:lang w:eastAsia="en-US"/>
        </w:rPr>
        <w:t>уктурному развитию.</w:t>
      </w:r>
      <w:r>
        <w:rPr>
          <w:rFonts w:eastAsiaTheme="minorHAnsi"/>
          <w:sz w:val="26"/>
          <w:szCs w:val="26"/>
          <w:lang w:eastAsia="en-US"/>
        </w:rPr>
        <w:t>»</w:t>
      </w:r>
      <w:r w:rsidR="00985795">
        <w:rPr>
          <w:rFonts w:eastAsiaTheme="minorHAnsi"/>
          <w:sz w:val="26"/>
          <w:szCs w:val="26"/>
          <w:lang w:eastAsia="en-US"/>
        </w:rPr>
        <w:t>.</w:t>
      </w:r>
    </w:p>
    <w:p w:rsidR="009B68B6" w:rsidRPr="009B68B6" w:rsidRDefault="00C25DB8" w:rsidP="00A608CC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9B68B6" w:rsidRPr="00922386">
        <w:rPr>
          <w:sz w:val="26"/>
          <w:szCs w:val="26"/>
        </w:rPr>
        <w:t xml:space="preserve"> </w:t>
      </w:r>
      <w:r w:rsidR="00922386" w:rsidRPr="00922386">
        <w:rPr>
          <w:sz w:val="26"/>
          <w:szCs w:val="26"/>
        </w:rPr>
        <w:t xml:space="preserve">Порядок </w:t>
      </w:r>
      <w:r w:rsidR="00922386" w:rsidRPr="00922386">
        <w:rPr>
          <w:rFonts w:eastAsia="Calibri"/>
          <w:bCs/>
          <w:w w:val="105"/>
          <w:sz w:val="26"/>
          <w:szCs w:val="26"/>
          <w:lang w:eastAsia="en-US"/>
        </w:rPr>
        <w:t xml:space="preserve">разработки, утверждения и реализации муниципальных программ муниципального образования «Муниципальный район «Заполярный район», утвержденный </w:t>
      </w:r>
      <w:r w:rsidR="00167DE5" w:rsidRPr="00922386">
        <w:rPr>
          <w:sz w:val="26"/>
          <w:szCs w:val="26"/>
        </w:rPr>
        <w:t>п</w:t>
      </w:r>
      <w:r w:rsidR="009B68B6" w:rsidRPr="00922386">
        <w:rPr>
          <w:sz w:val="26"/>
          <w:szCs w:val="26"/>
        </w:rPr>
        <w:t>остановление</w:t>
      </w:r>
      <w:r w:rsidR="00922386" w:rsidRPr="00922386">
        <w:rPr>
          <w:sz w:val="26"/>
          <w:szCs w:val="26"/>
        </w:rPr>
        <w:t>м</w:t>
      </w:r>
      <w:r>
        <w:rPr>
          <w:sz w:val="26"/>
          <w:szCs w:val="26"/>
        </w:rPr>
        <w:t>, внести</w:t>
      </w:r>
      <w:r w:rsidR="009B68B6" w:rsidRPr="00922386">
        <w:rPr>
          <w:sz w:val="26"/>
          <w:szCs w:val="26"/>
        </w:rPr>
        <w:t xml:space="preserve"> </w:t>
      </w:r>
      <w:r w:rsidR="009B68B6">
        <w:rPr>
          <w:rFonts w:eastAsia="Calibri"/>
          <w:bCs/>
          <w:w w:val="105"/>
          <w:sz w:val="26"/>
          <w:szCs w:val="26"/>
          <w:lang w:eastAsia="en-US"/>
        </w:rPr>
        <w:t>следующ</w:t>
      </w:r>
      <w:r w:rsidR="009E5189">
        <w:rPr>
          <w:rFonts w:eastAsia="Calibri"/>
          <w:bCs/>
          <w:w w:val="105"/>
          <w:sz w:val="26"/>
          <w:szCs w:val="26"/>
          <w:lang w:eastAsia="en-US"/>
        </w:rPr>
        <w:t>и</w:t>
      </w:r>
      <w:r w:rsidR="009B68B6">
        <w:rPr>
          <w:rFonts w:eastAsia="Calibri"/>
          <w:bCs/>
          <w:w w:val="105"/>
          <w:sz w:val="26"/>
          <w:szCs w:val="26"/>
          <w:lang w:eastAsia="en-US"/>
        </w:rPr>
        <w:t>е изменени</w:t>
      </w:r>
      <w:r w:rsidR="009E5189">
        <w:rPr>
          <w:rFonts w:eastAsia="Calibri"/>
          <w:bCs/>
          <w:w w:val="105"/>
          <w:sz w:val="26"/>
          <w:szCs w:val="26"/>
          <w:lang w:eastAsia="en-US"/>
        </w:rPr>
        <w:t>я</w:t>
      </w:r>
      <w:r w:rsidR="009B68B6">
        <w:rPr>
          <w:rFonts w:eastAsia="Calibri"/>
          <w:bCs/>
          <w:w w:val="105"/>
          <w:sz w:val="26"/>
          <w:szCs w:val="26"/>
          <w:lang w:eastAsia="en-US"/>
        </w:rPr>
        <w:t>:</w:t>
      </w:r>
    </w:p>
    <w:p w:rsidR="00706A08" w:rsidRDefault="0062047E" w:rsidP="006558C2">
      <w:pPr>
        <w:pStyle w:val="a3"/>
        <w:numPr>
          <w:ilvl w:val="1"/>
          <w:numId w:val="1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первый п.5</w:t>
      </w:r>
      <w:r w:rsidR="006558C2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>4</w:t>
      </w:r>
      <w:r w:rsidR="006558C2">
        <w:rPr>
          <w:rFonts w:eastAsiaTheme="minorHAnsi"/>
          <w:sz w:val="26"/>
          <w:szCs w:val="26"/>
          <w:lang w:eastAsia="en-US"/>
        </w:rPr>
        <w:t xml:space="preserve">. </w:t>
      </w:r>
      <w:r w:rsidR="008554CE">
        <w:rPr>
          <w:rFonts w:eastAsiaTheme="minorHAnsi"/>
          <w:sz w:val="26"/>
          <w:szCs w:val="26"/>
          <w:lang w:eastAsia="en-US"/>
        </w:rPr>
        <w:t>изложить в новой редакции</w:t>
      </w:r>
      <w:r w:rsidR="006558C2">
        <w:rPr>
          <w:rFonts w:eastAsiaTheme="minorHAnsi"/>
          <w:sz w:val="26"/>
          <w:szCs w:val="26"/>
          <w:lang w:eastAsia="en-US"/>
        </w:rPr>
        <w:t>:</w:t>
      </w:r>
    </w:p>
    <w:p w:rsidR="00FE4579" w:rsidRDefault="00FE4579" w:rsidP="004B79F8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8554CE">
        <w:rPr>
          <w:rFonts w:eastAsiaTheme="minorHAnsi"/>
          <w:sz w:val="26"/>
          <w:szCs w:val="26"/>
          <w:lang w:eastAsia="en-US"/>
        </w:rPr>
        <w:t xml:space="preserve">Отдел экономики ежегодно в срок до 1 апреля на основании отчетов о ходе реализации муниципальных программ (подпрограмм) формирует сводный годовой отчет, а также проводит оценку эффективности реализации муниципальных программ (подпрограмм) в соответствии с утвержденной Методикой проведения ежегодной оценки эффективности реализации муниципальных программ (по форме согласно </w:t>
      </w:r>
      <w:hyperlink r:id="rId12" w:history="1">
        <w:r w:rsidR="008554CE">
          <w:rPr>
            <w:rFonts w:eastAsiaTheme="minorHAnsi"/>
            <w:color w:val="0000FF"/>
            <w:sz w:val="26"/>
            <w:szCs w:val="26"/>
            <w:lang w:eastAsia="en-US"/>
          </w:rPr>
          <w:t xml:space="preserve">приложению </w:t>
        </w:r>
        <w:r w:rsidR="008554CE">
          <w:rPr>
            <w:rFonts w:eastAsiaTheme="minorHAnsi"/>
            <w:color w:val="0000FF"/>
            <w:sz w:val="26"/>
            <w:szCs w:val="26"/>
            <w:lang w:eastAsia="en-US"/>
          </w:rPr>
          <w:lastRenderedPageBreak/>
          <w:t>10</w:t>
        </w:r>
      </w:hyperlink>
      <w:r w:rsidR="008554CE">
        <w:rPr>
          <w:rFonts w:eastAsiaTheme="minorHAnsi"/>
          <w:sz w:val="26"/>
          <w:szCs w:val="26"/>
          <w:lang w:eastAsia="en-US"/>
        </w:rPr>
        <w:t xml:space="preserve"> к настоящему Порядку). В случае, </w:t>
      </w:r>
      <w:bookmarkStart w:id="0" w:name="_GoBack"/>
      <w:bookmarkEnd w:id="0"/>
      <w:r w:rsidR="008554CE">
        <w:rPr>
          <w:rFonts w:eastAsiaTheme="minorHAnsi"/>
          <w:sz w:val="26"/>
          <w:szCs w:val="26"/>
          <w:lang w:eastAsia="en-US"/>
        </w:rPr>
        <w:t>если в отчетном финансовом году по муниципальной программе (подпрограмме) объем финансирования не предусмотрен, оценка эффективности не проводится.»</w:t>
      </w:r>
      <w:r w:rsidR="004B79F8">
        <w:rPr>
          <w:rFonts w:eastAsiaTheme="minorHAnsi"/>
          <w:sz w:val="26"/>
          <w:szCs w:val="26"/>
          <w:lang w:eastAsia="en-US"/>
        </w:rPr>
        <w:t>.</w:t>
      </w:r>
    </w:p>
    <w:p w:rsidR="0062047E" w:rsidRDefault="0062047E" w:rsidP="00FE4579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1.2. </w:t>
      </w:r>
      <w:r w:rsidR="005663CC">
        <w:rPr>
          <w:rFonts w:eastAsiaTheme="minorHAnsi"/>
          <w:sz w:val="26"/>
          <w:szCs w:val="26"/>
          <w:lang w:eastAsia="en-US"/>
        </w:rPr>
        <w:t xml:space="preserve">Таблицу </w:t>
      </w:r>
      <w:r>
        <w:rPr>
          <w:rFonts w:eastAsiaTheme="minorHAnsi"/>
          <w:sz w:val="26"/>
          <w:szCs w:val="26"/>
          <w:lang w:eastAsia="en-US"/>
        </w:rPr>
        <w:t>Приложени</w:t>
      </w:r>
      <w:r w:rsidR="005663CC">
        <w:rPr>
          <w:rFonts w:eastAsiaTheme="minorHAnsi"/>
          <w:sz w:val="26"/>
          <w:szCs w:val="26"/>
          <w:lang w:eastAsia="en-US"/>
        </w:rPr>
        <w:t>я</w:t>
      </w:r>
      <w:r>
        <w:rPr>
          <w:rFonts w:eastAsiaTheme="minorHAnsi"/>
          <w:sz w:val="26"/>
          <w:szCs w:val="26"/>
          <w:lang w:eastAsia="en-US"/>
        </w:rPr>
        <w:t xml:space="preserve"> 10 изложить в соответствии с Приложением 1 к настоящему Постановлению</w:t>
      </w:r>
      <w:r w:rsidR="004B79F8">
        <w:rPr>
          <w:rFonts w:eastAsiaTheme="minorHAnsi"/>
          <w:sz w:val="26"/>
          <w:szCs w:val="26"/>
          <w:lang w:eastAsia="en-US"/>
        </w:rPr>
        <w:t>.</w:t>
      </w:r>
    </w:p>
    <w:p w:rsidR="00FE4579" w:rsidRDefault="00FE4579" w:rsidP="00FE4579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 Настоящее постановление вступает в силу со дня принятия</w:t>
      </w:r>
      <w:r w:rsidR="00C25DB8">
        <w:rPr>
          <w:rFonts w:eastAsiaTheme="minorHAnsi"/>
          <w:sz w:val="26"/>
          <w:szCs w:val="26"/>
          <w:lang w:eastAsia="en-US"/>
        </w:rPr>
        <w:t>,</w:t>
      </w:r>
      <w:r w:rsidR="00280679">
        <w:rPr>
          <w:rFonts w:eastAsiaTheme="minorHAnsi"/>
          <w:sz w:val="26"/>
          <w:szCs w:val="26"/>
          <w:lang w:eastAsia="en-US"/>
        </w:rPr>
        <w:t xml:space="preserve"> распространяет свое действие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BB0296">
        <w:rPr>
          <w:rFonts w:eastAsiaTheme="minorHAnsi"/>
          <w:sz w:val="26"/>
          <w:szCs w:val="26"/>
          <w:lang w:eastAsia="en-US"/>
        </w:rPr>
        <w:t xml:space="preserve">с 01.01.2022 </w:t>
      </w:r>
      <w:r>
        <w:rPr>
          <w:rFonts w:eastAsiaTheme="minorHAnsi"/>
          <w:sz w:val="26"/>
          <w:szCs w:val="26"/>
          <w:lang w:eastAsia="en-US"/>
        </w:rPr>
        <w:t>и подлежит официальному опубликованию.</w:t>
      </w:r>
    </w:p>
    <w:p w:rsidR="00FE4579" w:rsidRDefault="00FE4579" w:rsidP="00A608CC">
      <w:pPr>
        <w:jc w:val="both"/>
        <w:rPr>
          <w:sz w:val="26"/>
          <w:szCs w:val="26"/>
        </w:rPr>
      </w:pPr>
    </w:p>
    <w:p w:rsidR="00FE4579" w:rsidRDefault="00FE4579" w:rsidP="00A608CC">
      <w:pPr>
        <w:jc w:val="both"/>
        <w:rPr>
          <w:sz w:val="26"/>
          <w:szCs w:val="26"/>
        </w:rPr>
      </w:pPr>
    </w:p>
    <w:p w:rsidR="00280679" w:rsidRDefault="00280679" w:rsidP="00A608CC">
      <w:pPr>
        <w:jc w:val="both"/>
        <w:rPr>
          <w:sz w:val="26"/>
          <w:szCs w:val="26"/>
        </w:rPr>
      </w:pPr>
    </w:p>
    <w:p w:rsidR="00A608CC" w:rsidRPr="005F0B83" w:rsidRDefault="00A608CC" w:rsidP="00A608CC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>Глава Администрации</w:t>
      </w:r>
    </w:p>
    <w:p w:rsidR="00FB6513" w:rsidRDefault="00A608CC" w:rsidP="004135F2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 xml:space="preserve">Заполярного района                                                                                 </w:t>
      </w:r>
      <w:r w:rsidR="00F21443">
        <w:rPr>
          <w:sz w:val="26"/>
          <w:szCs w:val="26"/>
        </w:rPr>
        <w:t xml:space="preserve">          </w:t>
      </w:r>
      <w:r w:rsidR="002365BB">
        <w:rPr>
          <w:sz w:val="26"/>
          <w:szCs w:val="26"/>
        </w:rPr>
        <w:t>Н.Л. Михайлова</w:t>
      </w: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0679" w:rsidRDefault="00280679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8554CE" w:rsidRDefault="008554CE" w:rsidP="008554CE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1</w:t>
      </w:r>
    </w:p>
    <w:p w:rsidR="008554CE" w:rsidRDefault="008554CE" w:rsidP="008554CE">
      <w:pPr>
        <w:overflowPunct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постановлению Администрации</w:t>
      </w:r>
    </w:p>
    <w:p w:rsidR="008554CE" w:rsidRDefault="008554CE" w:rsidP="008554CE">
      <w:pPr>
        <w:overflowPunct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Заполярного района </w:t>
      </w:r>
    </w:p>
    <w:p w:rsidR="008554CE" w:rsidRDefault="00EA70B5" w:rsidP="008554CE">
      <w:pPr>
        <w:overflowPunct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31</w:t>
      </w:r>
      <w:r w:rsidR="008554CE" w:rsidRPr="00BB2D9F">
        <w:rPr>
          <w:rFonts w:eastAsiaTheme="minorHAnsi"/>
          <w:sz w:val="26"/>
          <w:szCs w:val="26"/>
          <w:lang w:eastAsia="en-US"/>
        </w:rPr>
        <w:t>.0</w:t>
      </w:r>
      <w:r>
        <w:rPr>
          <w:rFonts w:eastAsiaTheme="minorHAnsi"/>
          <w:sz w:val="26"/>
          <w:szCs w:val="26"/>
          <w:lang w:eastAsia="en-US"/>
        </w:rPr>
        <w:t>3</w:t>
      </w:r>
      <w:r w:rsidR="008554CE" w:rsidRPr="00BB2D9F">
        <w:rPr>
          <w:rFonts w:eastAsiaTheme="minorHAnsi"/>
          <w:sz w:val="26"/>
          <w:szCs w:val="26"/>
          <w:lang w:eastAsia="en-US"/>
        </w:rPr>
        <w:t>.20</w:t>
      </w:r>
      <w:r w:rsidR="005663CC">
        <w:rPr>
          <w:rFonts w:eastAsiaTheme="minorHAnsi"/>
          <w:sz w:val="26"/>
          <w:szCs w:val="26"/>
          <w:lang w:eastAsia="en-US"/>
        </w:rPr>
        <w:t>22</w:t>
      </w:r>
      <w:r w:rsidR="008554CE" w:rsidRPr="00BB2D9F">
        <w:rPr>
          <w:rFonts w:eastAsiaTheme="minorHAnsi"/>
          <w:sz w:val="26"/>
          <w:szCs w:val="26"/>
          <w:lang w:eastAsia="en-US"/>
        </w:rPr>
        <w:t xml:space="preserve"> </w:t>
      </w:r>
      <w:r w:rsidR="008554CE">
        <w:rPr>
          <w:rFonts w:eastAsiaTheme="minorHAnsi"/>
          <w:sz w:val="26"/>
          <w:szCs w:val="26"/>
          <w:lang w:eastAsia="en-US"/>
        </w:rPr>
        <w:t>№</w:t>
      </w:r>
      <w:r w:rsidR="008554CE" w:rsidRPr="00BB2D9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64</w:t>
      </w:r>
      <w:r w:rsidR="008554CE" w:rsidRPr="00BB2D9F">
        <w:rPr>
          <w:rFonts w:eastAsiaTheme="minorHAnsi"/>
          <w:sz w:val="26"/>
          <w:szCs w:val="26"/>
          <w:lang w:eastAsia="en-US"/>
        </w:rPr>
        <w:t>п</w:t>
      </w:r>
    </w:p>
    <w:p w:rsidR="005663CC" w:rsidRDefault="005663CC" w:rsidP="008554CE">
      <w:pPr>
        <w:overflowPunct/>
        <w:jc w:val="right"/>
        <w:rPr>
          <w:rFonts w:eastAsiaTheme="minorHAnsi"/>
          <w:sz w:val="26"/>
          <w:szCs w:val="26"/>
          <w:lang w:eastAsia="en-US"/>
        </w:rPr>
      </w:pPr>
    </w:p>
    <w:p w:rsidR="005663CC" w:rsidRDefault="005663CC" w:rsidP="008554CE">
      <w:pPr>
        <w:overflowPunct/>
        <w:jc w:val="right"/>
        <w:rPr>
          <w:rFonts w:eastAsiaTheme="minorHAnsi"/>
          <w:sz w:val="26"/>
          <w:szCs w:val="26"/>
          <w:lang w:eastAsia="en-US"/>
        </w:rPr>
      </w:pPr>
    </w:p>
    <w:tbl>
      <w:tblPr>
        <w:tblW w:w="1013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3128"/>
        <w:gridCol w:w="1192"/>
        <w:gridCol w:w="1193"/>
      </w:tblGrid>
      <w:tr w:rsidR="004B79F8" w:rsidRPr="007576D8" w:rsidTr="004B79F8">
        <w:trPr>
          <w:cantSplit/>
          <w:trHeight w:val="344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Критерии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Варианты оценки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Значения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Вес   </w:t>
            </w:r>
            <w:r w:rsidRPr="007576D8">
              <w:rPr>
                <w:color w:val="000000" w:themeColor="text1"/>
                <w:szCs w:val="24"/>
              </w:rPr>
              <w:br/>
              <w:t>критерия</w:t>
            </w:r>
          </w:p>
        </w:tc>
      </w:tr>
      <w:tr w:rsidR="004B79F8" w:rsidRPr="007576D8" w:rsidTr="004B79F8">
        <w:trPr>
          <w:cantSplit/>
          <w:trHeight w:val="229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4</w:t>
            </w:r>
          </w:p>
        </w:tc>
      </w:tr>
      <w:tr w:rsidR="004B79F8" w:rsidRPr="007576D8" w:rsidTr="004B79F8">
        <w:trPr>
          <w:cantSplit/>
          <w:trHeight w:val="229"/>
        </w:trPr>
        <w:tc>
          <w:tcPr>
            <w:tcW w:w="1013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Общие критерии анализа исполнения Программ</w:t>
            </w:r>
          </w:p>
        </w:tc>
      </w:tr>
      <w:tr w:rsidR="004B79F8" w:rsidRPr="007576D8" w:rsidTr="004B79F8">
        <w:trPr>
          <w:cantSplit/>
          <w:trHeight w:val="229"/>
        </w:trPr>
        <w:tc>
          <w:tcPr>
            <w:tcW w:w="4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1. Актуальность на настоящий момент Программы в целом и ее мероприятий в соответствии с социально-экономическими приоритетами Заполярного района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Соответствует  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1    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   </w:t>
            </w:r>
          </w:p>
        </w:tc>
      </w:tr>
      <w:tr w:rsidR="004B79F8" w:rsidRPr="007576D8" w:rsidTr="004B79F8">
        <w:trPr>
          <w:cantSplit/>
          <w:trHeight w:val="291"/>
        </w:trPr>
        <w:tc>
          <w:tcPr>
            <w:tcW w:w="4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Не соответствует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0    </w:t>
            </w:r>
          </w:p>
        </w:tc>
        <w:tc>
          <w:tcPr>
            <w:tcW w:w="11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</w:tr>
      <w:tr w:rsidR="004B79F8" w:rsidRPr="007576D8" w:rsidTr="004B79F8">
        <w:trPr>
          <w:cantSplit/>
          <w:trHeight w:val="229"/>
        </w:trPr>
        <w:tc>
          <w:tcPr>
            <w:tcW w:w="4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2. Соответствие целей и задач мероприятий Программы полномочиям Заполярного района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Соответствует  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1    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   </w:t>
            </w:r>
          </w:p>
        </w:tc>
      </w:tr>
      <w:tr w:rsidR="004B79F8" w:rsidRPr="007576D8" w:rsidTr="004B79F8">
        <w:trPr>
          <w:cantSplit/>
          <w:trHeight w:val="96"/>
        </w:trPr>
        <w:tc>
          <w:tcPr>
            <w:tcW w:w="4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Не соответствует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0    </w:t>
            </w:r>
          </w:p>
        </w:tc>
        <w:tc>
          <w:tcPr>
            <w:tcW w:w="11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</w:tr>
      <w:tr w:rsidR="004B79F8" w:rsidRPr="007576D8" w:rsidTr="004B79F8">
        <w:trPr>
          <w:cantSplit/>
          <w:trHeight w:val="229"/>
        </w:trPr>
        <w:tc>
          <w:tcPr>
            <w:tcW w:w="4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3. Наличие в Программе годовых количественных измеримых целевых показателей, отражающих цели Программы и достижение результатов ее реализации             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Установлены 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1    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   </w:t>
            </w:r>
          </w:p>
        </w:tc>
      </w:tr>
      <w:tr w:rsidR="004B79F8" w:rsidRPr="007576D8" w:rsidTr="004B79F8">
        <w:trPr>
          <w:cantSplit/>
          <w:trHeight w:val="322"/>
        </w:trPr>
        <w:tc>
          <w:tcPr>
            <w:tcW w:w="4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Отсутствуют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0    </w:t>
            </w:r>
          </w:p>
        </w:tc>
        <w:tc>
          <w:tcPr>
            <w:tcW w:w="11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</w:tr>
      <w:tr w:rsidR="004B79F8" w:rsidRPr="007576D8" w:rsidTr="004B79F8">
        <w:trPr>
          <w:cantSplit/>
          <w:trHeight w:val="603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4. Соответствие целевых показателей, достигнутых в отчетном году, целевым показателям, утвержденным в Программе       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Отношение достигнутых целевых показателей к целевым показателям, запланированным Программой     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680AB5" w:rsidP="009805C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</w:t>
            </w:r>
          </w:p>
        </w:tc>
      </w:tr>
      <w:tr w:rsidR="004B79F8" w:rsidRPr="007576D8" w:rsidTr="004B79F8">
        <w:trPr>
          <w:cantSplit/>
          <w:trHeight w:val="229"/>
        </w:trPr>
        <w:tc>
          <w:tcPr>
            <w:tcW w:w="10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2. Выполнение запланированных мероприятий Программы</w:t>
            </w:r>
          </w:p>
        </w:tc>
      </w:tr>
      <w:tr w:rsidR="004B79F8" w:rsidRPr="007576D8" w:rsidTr="004B79F8">
        <w:trPr>
          <w:cantSplit/>
          <w:trHeight w:val="229"/>
        </w:trPr>
        <w:tc>
          <w:tcPr>
            <w:tcW w:w="10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2.1. Выполнение запланированных мероприятий Программы в отчетном году  </w:t>
            </w:r>
          </w:p>
        </w:tc>
      </w:tr>
      <w:tr w:rsidR="004B79F8" w:rsidRPr="007576D8" w:rsidTr="004B79F8">
        <w:trPr>
          <w:cantSplit/>
          <w:trHeight w:val="437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2.1.1. Выполнение мероприятий        </w:t>
            </w:r>
            <w:r w:rsidRPr="007576D8">
              <w:rPr>
                <w:color w:val="000000" w:themeColor="text1"/>
                <w:szCs w:val="24"/>
              </w:rPr>
              <w:br/>
              <w:t xml:space="preserve">Программы                            </w:t>
            </w:r>
          </w:p>
        </w:tc>
        <w:tc>
          <w:tcPr>
            <w:tcW w:w="3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Доля выполненных мероприятий от общего числа запланированных </w:t>
            </w:r>
            <w:r w:rsidRPr="007576D8">
              <w:rPr>
                <w:color w:val="000000" w:themeColor="text1"/>
                <w:szCs w:val="24"/>
              </w:rPr>
              <w:br/>
              <w:t xml:space="preserve">мероприятий. Невыполненным   </w:t>
            </w:r>
            <w:r w:rsidRPr="007576D8">
              <w:rPr>
                <w:color w:val="000000" w:themeColor="text1"/>
                <w:szCs w:val="24"/>
              </w:rPr>
              <w:br/>
              <w:t xml:space="preserve">признается также и мероприятие, которое выполнено частично (менее 80 процентов), кроме мероприятий, которые являются переходящими на последующие годы.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</w:tr>
      <w:tr w:rsidR="004B79F8" w:rsidRPr="007576D8" w:rsidTr="004B79F8">
        <w:trPr>
          <w:cantSplit/>
          <w:trHeight w:val="39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Программы социальной сферы</w:t>
            </w:r>
          </w:p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31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15</w:t>
            </w:r>
          </w:p>
        </w:tc>
      </w:tr>
      <w:tr w:rsidR="004B79F8" w:rsidRPr="007576D8" w:rsidTr="004B79F8">
        <w:trPr>
          <w:cantSplit/>
          <w:trHeight w:val="788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Иные Программы</w:t>
            </w:r>
          </w:p>
        </w:tc>
        <w:tc>
          <w:tcPr>
            <w:tcW w:w="3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10   </w:t>
            </w:r>
          </w:p>
        </w:tc>
      </w:tr>
      <w:tr w:rsidR="004B79F8" w:rsidRPr="007576D8" w:rsidTr="004B79F8">
        <w:trPr>
          <w:cantSplit/>
          <w:trHeight w:val="1376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lastRenderedPageBreak/>
              <w:t>2.1.2. Осуществление ввода в эксплуатацию</w:t>
            </w:r>
            <w:r w:rsidRPr="007576D8">
              <w:rPr>
                <w:color w:val="000000" w:themeColor="text1"/>
                <w:szCs w:val="24"/>
              </w:rPr>
              <w:br/>
              <w:t xml:space="preserve">объектов капитального строительства, </w:t>
            </w:r>
            <w:r w:rsidRPr="007576D8">
              <w:rPr>
                <w:color w:val="000000" w:themeColor="text1"/>
                <w:szCs w:val="24"/>
              </w:rPr>
              <w:br/>
              <w:t xml:space="preserve">предусмотренных в Программе          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Доля выполненных мероприятий от общего числа запланированных мероприятий. Невыполненным признается также и мероприятие, которое выполнено частично, кроме мероприятий, которые являются переходящими на последующие годы.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   </w:t>
            </w:r>
          </w:p>
        </w:tc>
      </w:tr>
      <w:tr w:rsidR="004B79F8" w:rsidRPr="007576D8" w:rsidTr="004B79F8">
        <w:trPr>
          <w:cantSplit/>
          <w:trHeight w:val="344"/>
        </w:trPr>
        <w:tc>
          <w:tcPr>
            <w:tcW w:w="10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2.2. Выполнение запланированных мероприятий Программы с начала ее реализации                      </w:t>
            </w:r>
          </w:p>
        </w:tc>
      </w:tr>
      <w:tr w:rsidR="004B79F8" w:rsidRPr="007576D8" w:rsidTr="004B79F8">
        <w:trPr>
          <w:cantSplit/>
          <w:trHeight w:val="391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2.2.1. Выполнение мероприятий        </w:t>
            </w:r>
            <w:r w:rsidRPr="007576D8">
              <w:rPr>
                <w:color w:val="000000" w:themeColor="text1"/>
                <w:szCs w:val="24"/>
              </w:rPr>
              <w:br/>
              <w:t xml:space="preserve">Программы                        </w:t>
            </w:r>
          </w:p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3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Доля выполненных мероприятий от общего числа запланированных мероприятий.  Невыполненным признается также и мероприятие, которое выполнено частично (менее 80 процентов), кроме мероприятий, которые являются переходящими на последующие годы.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</w:tr>
      <w:tr w:rsidR="004B79F8" w:rsidRPr="007576D8" w:rsidTr="004B79F8">
        <w:trPr>
          <w:cantSplit/>
          <w:trHeight w:val="332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Программы социальной сферы</w:t>
            </w:r>
          </w:p>
        </w:tc>
        <w:tc>
          <w:tcPr>
            <w:tcW w:w="31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   </w:t>
            </w:r>
          </w:p>
        </w:tc>
      </w:tr>
      <w:tr w:rsidR="004B79F8" w:rsidRPr="007576D8" w:rsidTr="004B79F8">
        <w:trPr>
          <w:cantSplit/>
          <w:trHeight w:val="649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Иные Программы</w:t>
            </w:r>
          </w:p>
        </w:tc>
        <w:tc>
          <w:tcPr>
            <w:tcW w:w="3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   </w:t>
            </w:r>
          </w:p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</w:tr>
      <w:tr w:rsidR="004B79F8" w:rsidRPr="007576D8" w:rsidTr="004B79F8">
        <w:trPr>
          <w:cantSplit/>
          <w:trHeight w:val="1376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Осуществление ввода в эксплуатацию объектов капитального строительства, предусмотренных Программой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Доля выполненных мероприятий от общего числа запланированных мероприятий. Невыполненным признается также и мероприятие, которое выполнено частично, кроме мероприятий, которые являются переходящими на последующие годы.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   </w:t>
            </w:r>
          </w:p>
        </w:tc>
      </w:tr>
      <w:tr w:rsidR="004B79F8" w:rsidRPr="007576D8" w:rsidTr="004B79F8">
        <w:trPr>
          <w:cantSplit/>
          <w:trHeight w:val="344"/>
        </w:trPr>
        <w:tc>
          <w:tcPr>
            <w:tcW w:w="10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jc w:val="center"/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3. Доля фактического объема финансирования Программы           </w:t>
            </w:r>
            <w:r w:rsidRPr="007576D8">
              <w:rPr>
                <w:color w:val="000000" w:themeColor="text1"/>
                <w:szCs w:val="24"/>
              </w:rPr>
              <w:br/>
              <w:t>от запланированного финансирования</w:t>
            </w:r>
          </w:p>
        </w:tc>
      </w:tr>
      <w:tr w:rsidR="004B79F8" w:rsidRPr="007576D8" w:rsidTr="004B79F8">
        <w:trPr>
          <w:cantSplit/>
          <w:trHeight w:val="344"/>
        </w:trPr>
        <w:tc>
          <w:tcPr>
            <w:tcW w:w="10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3.1. Уровень фактического финансового обеспечения Программы в целом по источникам финансирования              </w:t>
            </w:r>
          </w:p>
        </w:tc>
      </w:tr>
      <w:tr w:rsidR="004B79F8" w:rsidRPr="007576D8" w:rsidTr="004B79F8">
        <w:trPr>
          <w:cantSplit/>
          <w:trHeight w:val="836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3.1.1. Уровень фактического финансового обеспечения Программы с начала ее реализации     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Отношение фактического объема финансирования к объему финансирования, запланированному Программой     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10   </w:t>
            </w:r>
          </w:p>
        </w:tc>
      </w:tr>
      <w:tr w:rsidR="004B79F8" w:rsidRPr="007576D8" w:rsidTr="004B79F8">
        <w:trPr>
          <w:cantSplit/>
          <w:trHeight w:val="805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3.1.2. Уровень фактического финансового обеспечения Программы в отчетном финансовом году 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Отношение фактического объема          </w:t>
            </w:r>
            <w:r w:rsidRPr="007576D8">
              <w:rPr>
                <w:color w:val="000000" w:themeColor="text1"/>
                <w:szCs w:val="24"/>
              </w:rPr>
              <w:br/>
              <w:t>финансирования к объему финансирования, запланированному</w:t>
            </w:r>
            <w:r w:rsidRPr="007576D8">
              <w:rPr>
                <w:color w:val="000000" w:themeColor="text1"/>
                <w:szCs w:val="24"/>
              </w:rPr>
              <w:br/>
              <w:t xml:space="preserve">Программой     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   </w:t>
            </w:r>
          </w:p>
        </w:tc>
      </w:tr>
      <w:tr w:rsidR="004B79F8" w:rsidRPr="007576D8" w:rsidTr="004B79F8">
        <w:trPr>
          <w:cantSplit/>
          <w:trHeight w:val="344"/>
        </w:trPr>
        <w:tc>
          <w:tcPr>
            <w:tcW w:w="10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3.2. Доля фактического объема финансирования Программы в отчетном финансовом году с разбивкой по источникам финансирования         </w:t>
            </w:r>
          </w:p>
        </w:tc>
      </w:tr>
      <w:tr w:rsidR="004B79F8" w:rsidRPr="007576D8" w:rsidTr="004B79F8">
        <w:trPr>
          <w:cantSplit/>
          <w:trHeight w:val="796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lastRenderedPageBreak/>
              <w:t>3.2.1. Доля фактического объема финансирования Программы из бюджетов других уровней от запланированного финансирования из бюджетов других уровней (кроме Программ, финансируемых только за счет средств районного)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Отношение фактического объема финансирования к объему финансирования, запланированному</w:t>
            </w:r>
            <w:r w:rsidRPr="007576D8">
              <w:rPr>
                <w:color w:val="000000" w:themeColor="text1"/>
                <w:szCs w:val="24"/>
              </w:rPr>
              <w:br/>
              <w:t xml:space="preserve">Программой     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680AB5" w:rsidP="009805C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  <w:r w:rsidR="004B79F8" w:rsidRPr="007576D8">
              <w:rPr>
                <w:color w:val="000000" w:themeColor="text1"/>
                <w:szCs w:val="24"/>
              </w:rPr>
              <w:t xml:space="preserve">   </w:t>
            </w:r>
          </w:p>
        </w:tc>
      </w:tr>
      <w:tr w:rsidR="004B79F8" w:rsidRPr="007576D8" w:rsidTr="004B79F8">
        <w:trPr>
          <w:cantSplit/>
          <w:trHeight w:val="794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3.2.2. Доля фактического объема финансирования Программы из районного бюджета от запланированного финансирования из районного бюджета   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Отношение фактического объема финансирования к объему финансирования, запланированному</w:t>
            </w:r>
            <w:r w:rsidRPr="007576D8">
              <w:rPr>
                <w:color w:val="000000" w:themeColor="text1"/>
                <w:szCs w:val="24"/>
              </w:rPr>
              <w:br/>
              <w:t xml:space="preserve">Программой     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</w:tr>
      <w:tr w:rsidR="004B79F8" w:rsidRPr="007576D8" w:rsidTr="004B79F8">
        <w:trPr>
          <w:cantSplit/>
          <w:trHeight w:val="422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Программы, финансируемые только за счет средств районного бюджета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680AB5" w:rsidP="009805C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15</w:t>
            </w:r>
            <w:r w:rsidR="004B79F8" w:rsidRPr="007576D8">
              <w:rPr>
                <w:color w:val="000000" w:themeColor="text1"/>
                <w:szCs w:val="24"/>
              </w:rPr>
              <w:t xml:space="preserve"> </w:t>
            </w:r>
          </w:p>
        </w:tc>
      </w:tr>
      <w:tr w:rsidR="004B79F8" w:rsidRPr="007576D8" w:rsidTr="004B79F8">
        <w:trPr>
          <w:cantSplit/>
          <w:trHeight w:val="252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Иные Программы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 xml:space="preserve">5 </w:t>
            </w:r>
          </w:p>
        </w:tc>
      </w:tr>
      <w:tr w:rsidR="004B79F8" w:rsidRPr="007576D8" w:rsidTr="004B79F8">
        <w:trPr>
          <w:cantSplit/>
          <w:trHeight w:val="252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3.2.3. Доля фактического объема финансирования Программы из внебюджетных источников от запланированного финансирования из внебюджетных источников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 w:rsidRPr="007576D8">
              <w:rPr>
                <w:color w:val="000000" w:themeColor="text1"/>
                <w:szCs w:val="24"/>
              </w:rPr>
              <w:t>Отношение фактического объема финансирования к объему финансирования, запланированному</w:t>
            </w:r>
            <w:r w:rsidRPr="007576D8">
              <w:rPr>
                <w:color w:val="000000" w:themeColor="text1"/>
                <w:szCs w:val="24"/>
              </w:rPr>
              <w:br/>
              <w:t>Программой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C97B70" w:rsidP="009805C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о</w:t>
            </w:r>
            <w:r w:rsidR="004B79F8">
              <w:rPr>
                <w:color w:val="000000" w:themeColor="text1"/>
                <w:szCs w:val="24"/>
              </w:rPr>
              <w:t>т 0 до 1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9F8" w:rsidRPr="007576D8" w:rsidRDefault="004B79F8" w:rsidP="009805C8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</w:tc>
      </w:tr>
    </w:tbl>
    <w:p w:rsidR="008554CE" w:rsidRDefault="008554CE" w:rsidP="008554CE">
      <w:pPr>
        <w:jc w:val="right"/>
      </w:pPr>
    </w:p>
    <w:sectPr w:rsidR="008554CE" w:rsidSect="00280679">
      <w:headerReference w:type="default" r:id="rId13"/>
      <w:pgSz w:w="11906" w:h="16838"/>
      <w:pgMar w:top="1134" w:right="851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513" w:rsidRDefault="00FB6513">
      <w:r>
        <w:separator/>
      </w:r>
    </w:p>
  </w:endnote>
  <w:endnote w:type="continuationSeparator" w:id="0">
    <w:p w:rsidR="00FB6513" w:rsidRDefault="00FB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513" w:rsidRDefault="00FB6513">
      <w:r>
        <w:separator/>
      </w:r>
    </w:p>
  </w:footnote>
  <w:footnote w:type="continuationSeparator" w:id="0">
    <w:p w:rsidR="00FB6513" w:rsidRDefault="00FB6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142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B6513" w:rsidRPr="00901275" w:rsidRDefault="00FB6513" w:rsidP="001D19F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012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0127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012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70B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012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EB5"/>
    <w:multiLevelType w:val="hybridMultilevel"/>
    <w:tmpl w:val="192044D6"/>
    <w:lvl w:ilvl="0" w:tplc="2ADA3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A93CF0"/>
    <w:multiLevelType w:val="hybridMultilevel"/>
    <w:tmpl w:val="D20EEC6E"/>
    <w:lvl w:ilvl="0" w:tplc="DF1E1CBE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E00900"/>
    <w:multiLevelType w:val="hybridMultilevel"/>
    <w:tmpl w:val="E59ADCA6"/>
    <w:lvl w:ilvl="0" w:tplc="4058F6F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4C34F0E0">
      <w:start w:val="1"/>
      <w:numFmt w:val="decimal"/>
      <w:lvlText w:val="%2."/>
      <w:lvlJc w:val="left"/>
      <w:pPr>
        <w:ind w:left="2044" w:hanging="6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A1B27"/>
    <w:multiLevelType w:val="hybridMultilevel"/>
    <w:tmpl w:val="C2909552"/>
    <w:lvl w:ilvl="0" w:tplc="6618432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9662B0"/>
    <w:multiLevelType w:val="multilevel"/>
    <w:tmpl w:val="5FD622FA"/>
    <w:lvl w:ilvl="0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65B2304"/>
    <w:multiLevelType w:val="hybridMultilevel"/>
    <w:tmpl w:val="32240D80"/>
    <w:lvl w:ilvl="0" w:tplc="A51C9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F055B"/>
    <w:multiLevelType w:val="hybridMultilevel"/>
    <w:tmpl w:val="8AFEA464"/>
    <w:lvl w:ilvl="0" w:tplc="27C886CA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01103A"/>
    <w:multiLevelType w:val="hybridMultilevel"/>
    <w:tmpl w:val="7C30C10E"/>
    <w:lvl w:ilvl="0" w:tplc="16D40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F33B89"/>
    <w:multiLevelType w:val="hybridMultilevel"/>
    <w:tmpl w:val="60A895BC"/>
    <w:lvl w:ilvl="0" w:tplc="64A2226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0A3C52"/>
    <w:multiLevelType w:val="hybridMultilevel"/>
    <w:tmpl w:val="893E7F74"/>
    <w:lvl w:ilvl="0" w:tplc="67F6C718">
      <w:start w:val="1"/>
      <w:numFmt w:val="decimal"/>
      <w:lvlText w:val="%1)"/>
      <w:lvlJc w:val="left"/>
      <w:pPr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780140"/>
    <w:multiLevelType w:val="multilevel"/>
    <w:tmpl w:val="5CC8DAA8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6CE10C7"/>
    <w:multiLevelType w:val="hybridMultilevel"/>
    <w:tmpl w:val="BD0620B2"/>
    <w:lvl w:ilvl="0" w:tplc="9A5E6F4A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CA7DA7"/>
    <w:multiLevelType w:val="hybridMultilevel"/>
    <w:tmpl w:val="E32E2264"/>
    <w:lvl w:ilvl="0" w:tplc="EA541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EF70FC"/>
    <w:multiLevelType w:val="hybridMultilevel"/>
    <w:tmpl w:val="BAE0DAC8"/>
    <w:lvl w:ilvl="0" w:tplc="010EC1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3C04A4"/>
    <w:multiLevelType w:val="multilevel"/>
    <w:tmpl w:val="97E2501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5" w15:restartNumberingAfterBreak="0">
    <w:nsid w:val="700E149C"/>
    <w:multiLevelType w:val="hybridMultilevel"/>
    <w:tmpl w:val="2A72D6DC"/>
    <w:lvl w:ilvl="0" w:tplc="498ABEC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2C37A57"/>
    <w:multiLevelType w:val="hybridMultilevel"/>
    <w:tmpl w:val="3F368686"/>
    <w:lvl w:ilvl="0" w:tplc="2ADA34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B8B689D"/>
    <w:multiLevelType w:val="hybridMultilevel"/>
    <w:tmpl w:val="3606E598"/>
    <w:lvl w:ilvl="0" w:tplc="BDDAFAB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0"/>
  </w:num>
  <w:num w:numId="4">
    <w:abstractNumId w:val="15"/>
  </w:num>
  <w:num w:numId="5">
    <w:abstractNumId w:val="2"/>
  </w:num>
  <w:num w:numId="6">
    <w:abstractNumId w:val="16"/>
  </w:num>
  <w:num w:numId="7">
    <w:abstractNumId w:val="4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10"/>
  </w:num>
  <w:num w:numId="13">
    <w:abstractNumId w:val="9"/>
  </w:num>
  <w:num w:numId="14">
    <w:abstractNumId w:val="6"/>
  </w:num>
  <w:num w:numId="15">
    <w:abstractNumId w:val="1"/>
  </w:num>
  <w:num w:numId="16">
    <w:abstractNumId w:val="5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CC"/>
    <w:rsid w:val="000613D6"/>
    <w:rsid w:val="00087B8F"/>
    <w:rsid w:val="000B27A7"/>
    <w:rsid w:val="000B5A4B"/>
    <w:rsid w:val="000D40FE"/>
    <w:rsid w:val="00106135"/>
    <w:rsid w:val="00111C18"/>
    <w:rsid w:val="001532E4"/>
    <w:rsid w:val="00167DE5"/>
    <w:rsid w:val="001B6259"/>
    <w:rsid w:val="001D19F7"/>
    <w:rsid w:val="002365BB"/>
    <w:rsid w:val="002516B1"/>
    <w:rsid w:val="00280679"/>
    <w:rsid w:val="00291C61"/>
    <w:rsid w:val="0029361B"/>
    <w:rsid w:val="00297B48"/>
    <w:rsid w:val="00321199"/>
    <w:rsid w:val="003419D3"/>
    <w:rsid w:val="003570B1"/>
    <w:rsid w:val="003A21C9"/>
    <w:rsid w:val="003B00E4"/>
    <w:rsid w:val="003B551C"/>
    <w:rsid w:val="003F0A6F"/>
    <w:rsid w:val="004054CC"/>
    <w:rsid w:val="00406584"/>
    <w:rsid w:val="004135F2"/>
    <w:rsid w:val="00441F46"/>
    <w:rsid w:val="00451210"/>
    <w:rsid w:val="004A3DF8"/>
    <w:rsid w:val="004B4DF6"/>
    <w:rsid w:val="004B79F8"/>
    <w:rsid w:val="004E17B6"/>
    <w:rsid w:val="0050422C"/>
    <w:rsid w:val="00514D6E"/>
    <w:rsid w:val="0052480C"/>
    <w:rsid w:val="00524F78"/>
    <w:rsid w:val="00537C68"/>
    <w:rsid w:val="005663CC"/>
    <w:rsid w:val="005916D5"/>
    <w:rsid w:val="0062047E"/>
    <w:rsid w:val="006558C2"/>
    <w:rsid w:val="00680AB5"/>
    <w:rsid w:val="00683C21"/>
    <w:rsid w:val="006B29FE"/>
    <w:rsid w:val="00706A08"/>
    <w:rsid w:val="007A7B23"/>
    <w:rsid w:val="007B0D2B"/>
    <w:rsid w:val="007B36A5"/>
    <w:rsid w:val="007F1BB1"/>
    <w:rsid w:val="008366E9"/>
    <w:rsid w:val="008554CE"/>
    <w:rsid w:val="00887E66"/>
    <w:rsid w:val="008D17A3"/>
    <w:rsid w:val="008D598C"/>
    <w:rsid w:val="008F0C3A"/>
    <w:rsid w:val="00922386"/>
    <w:rsid w:val="00984814"/>
    <w:rsid w:val="00985795"/>
    <w:rsid w:val="00997AC6"/>
    <w:rsid w:val="009A6CD9"/>
    <w:rsid w:val="009B68B6"/>
    <w:rsid w:val="009E5189"/>
    <w:rsid w:val="00A01181"/>
    <w:rsid w:val="00A14779"/>
    <w:rsid w:val="00A16139"/>
    <w:rsid w:val="00A608CC"/>
    <w:rsid w:val="00A87838"/>
    <w:rsid w:val="00AB2B9A"/>
    <w:rsid w:val="00B263BE"/>
    <w:rsid w:val="00B32322"/>
    <w:rsid w:val="00B60F6D"/>
    <w:rsid w:val="00B82F10"/>
    <w:rsid w:val="00B92EDC"/>
    <w:rsid w:val="00BB0296"/>
    <w:rsid w:val="00BB2D9F"/>
    <w:rsid w:val="00C10793"/>
    <w:rsid w:val="00C25DB8"/>
    <w:rsid w:val="00C65CBE"/>
    <w:rsid w:val="00C97B70"/>
    <w:rsid w:val="00D07228"/>
    <w:rsid w:val="00D346C2"/>
    <w:rsid w:val="00D5158E"/>
    <w:rsid w:val="00DE68E9"/>
    <w:rsid w:val="00E123D6"/>
    <w:rsid w:val="00E670F8"/>
    <w:rsid w:val="00E9111D"/>
    <w:rsid w:val="00EA70B5"/>
    <w:rsid w:val="00F103CD"/>
    <w:rsid w:val="00F21443"/>
    <w:rsid w:val="00F52924"/>
    <w:rsid w:val="00FB6513"/>
    <w:rsid w:val="00FE4579"/>
    <w:rsid w:val="00FF230D"/>
    <w:rsid w:val="00FF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3952"/>
  <w15:docId w15:val="{EAF58516-782D-4793-B6E0-1D6FCACD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D19F7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9F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D19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9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19F7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1D19F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D19F7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1D19F7"/>
    <w:rPr>
      <w:rFonts w:eastAsiaTheme="minorEastAsia"/>
      <w:lang w:eastAsia="ru-RU"/>
    </w:rPr>
  </w:style>
  <w:style w:type="paragraph" w:customStyle="1" w:styleId="Default">
    <w:name w:val="Default"/>
    <w:rsid w:val="001D1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rsid w:val="001D19F7"/>
    <w:pPr>
      <w:widowControl w:val="0"/>
      <w:overflowPunct/>
      <w:jc w:val="both"/>
    </w:pPr>
    <w:rPr>
      <w:rFonts w:ascii="Courier New" w:hAnsi="Courier New" w:cs="Courier New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1D19F7"/>
    <w:pPr>
      <w:overflowPunct/>
      <w:autoSpaceDE/>
      <w:autoSpaceDN/>
      <w:adjustRightInd/>
      <w:spacing w:after="200"/>
    </w:pPr>
    <w:rPr>
      <w:rFonts w:asciiTheme="minorHAnsi" w:eastAsiaTheme="minorEastAsia" w:hAnsiTheme="minorHAnsi" w:cstheme="minorBidi"/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D19F7"/>
    <w:rPr>
      <w:rFonts w:eastAsiaTheme="minorEastAsia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rsid w:val="001D19F7"/>
    <w:rPr>
      <w:rFonts w:eastAsiaTheme="minorEastAsia"/>
      <w:b/>
      <w:bCs/>
      <w:sz w:val="20"/>
      <w:szCs w:val="20"/>
      <w:lang w:eastAsia="ru-RU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1D19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683A79CABBDE4D2C9712851E7547CC9B26D06A7AD5EF3228FBC5D0F19DA0651713C58A3EADFF28206FBFFC7CB97AC90139CB5D74516B0B33668FuFs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787568FAE9FA6A571B8DD34E336803264CC405858F5BB2707111AF7911C80B08l7D9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6787568FAE9FA6A571B93DE585F360C244F9D08848E55E42A2C17F826l4D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B1789E0BA600244AC90F4FB88B110DD17E99C0B23902FDF98A497A18F3F9F1DE0BC984FE2241F56DND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ADC2D-99D4-4366-9BC3-69F61F19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5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Бурминская Татьяна Александровна</cp:lastModifiedBy>
  <cp:revision>25</cp:revision>
  <cp:lastPrinted>2022-03-31T12:29:00Z</cp:lastPrinted>
  <dcterms:created xsi:type="dcterms:W3CDTF">2021-01-18T11:40:00Z</dcterms:created>
  <dcterms:modified xsi:type="dcterms:W3CDTF">2022-03-31T12:29:00Z</dcterms:modified>
</cp:coreProperties>
</file>