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>
      <w:pPr>
        <w:pStyle w:val="ConsPlusNormal"/>
        <w:jc w:val="right"/>
        <w:outlineLvl w:val="0"/>
      </w:pPr>
      <w:bookmarkStart w:id="0" w:name="_GoBack"/>
      <w:bookmarkEnd w:id="0"/>
      <w:r>
        <w:t>Приложение 1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222"/>
      <w:bookmarkEnd w:id="1"/>
      <w:r>
        <w:t>НОРМАТИВЫ</w:t>
      </w:r>
    </w:p>
    <w:p w:rsidR="00766ABC" w:rsidRDefault="00766ABC">
      <w:pPr>
        <w:pStyle w:val="ConsPlusTitle"/>
        <w:jc w:val="center"/>
      </w:pPr>
      <w:r>
        <w:t>РАСПРЕДЕЛЕНИЯ ДОХОДОВ МЕЖДУ РАЙОННЫМ БЮДЖЕТОМ И БЮДЖЕТАМИ</w:t>
      </w:r>
    </w:p>
    <w:p w:rsidR="00766ABC" w:rsidRDefault="00766ABC">
      <w:pPr>
        <w:pStyle w:val="ConsPlusTitle"/>
        <w:jc w:val="center"/>
      </w:pPr>
      <w:r>
        <w:t>ПОСЕЛЕНИЙ МУНИЦИПАЛЬНОГО РАЙОНА "ЗАПОЛЯРНЫЙ РАЙОН",</w:t>
      </w:r>
    </w:p>
    <w:p w:rsidR="00766ABC" w:rsidRDefault="00766ABC">
      <w:pPr>
        <w:pStyle w:val="ConsPlusTitle"/>
        <w:jc w:val="center"/>
      </w:pPr>
      <w:r>
        <w:t>НЕ УСТАНОВЛЕННЫЕ БЮДЖЕТНЫМ КОДЕКСОМ РОССИЙСКОЙ ФЕДЕРАЦИИ,</w:t>
      </w:r>
    </w:p>
    <w:p w:rsidR="00766ABC" w:rsidRDefault="00766ABC">
      <w:pPr>
        <w:pStyle w:val="ConsPlusTitle"/>
        <w:jc w:val="center"/>
      </w:pPr>
      <w:r>
        <w:t>ЗАКОНОМ НЕНЕЦКОГО АВТОНОМНОГО ОКРУГА ОБ ОКРУЖНОМ БЮДЖЕТЕ,</w:t>
      </w:r>
    </w:p>
    <w:p w:rsidR="00766ABC" w:rsidRDefault="00766ABC">
      <w:pPr>
        <w:pStyle w:val="ConsPlusTitle"/>
        <w:jc w:val="center"/>
      </w:pPr>
      <w:r>
        <w:t>ЗАКОНАМИ НЕНЕЦКОГО АВТОНОМНОГО ОКРУГА И МУНИЦИПАЛЬНЫМИ</w:t>
      </w:r>
    </w:p>
    <w:p w:rsidR="00766ABC" w:rsidRDefault="00766ABC">
      <w:pPr>
        <w:pStyle w:val="ConsPlusTitle"/>
        <w:jc w:val="center"/>
      </w:pPr>
      <w:r>
        <w:t>ПРАВОВЫМИ АКТАМИ ЗАПОЛЯРНОГО РАЙОНА, ПРИНЯТЫМИ</w:t>
      </w:r>
    </w:p>
    <w:p w:rsidR="00766ABC" w:rsidRDefault="00766ABC">
      <w:pPr>
        <w:pStyle w:val="ConsPlusTitle"/>
        <w:jc w:val="center"/>
      </w:pPr>
      <w:r>
        <w:t>В СООТВЕТСТВИИ С БЮДЖЕТНЫМ КОДЕКСОМ РОССИЙСКОЙ ФЕДЕРАЦИИ,</w:t>
      </w:r>
    </w:p>
    <w:p w:rsidR="00766ABC" w:rsidRDefault="00766ABC">
      <w:pPr>
        <w:pStyle w:val="ConsPlusTitle"/>
        <w:jc w:val="center"/>
      </w:pPr>
      <w:r>
        <w:t>НА 2023 ГОД И ПЛАНОВЫЙ ПЕРИОД 2024 - 2025 ГОДОВ</w:t>
      </w:r>
    </w:p>
    <w:p w:rsidR="00766ABC" w:rsidRDefault="00766AB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3827"/>
        <w:gridCol w:w="1020"/>
        <w:gridCol w:w="1247"/>
      </w:tblGrid>
      <w:tr w:rsidR="00766ABC">
        <w:tc>
          <w:tcPr>
            <w:tcW w:w="2977" w:type="dxa"/>
          </w:tcPr>
          <w:p w:rsidR="00766ABC" w:rsidRDefault="00766ABC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827" w:type="dxa"/>
          </w:tcPr>
          <w:p w:rsidR="00766ABC" w:rsidRDefault="00766ABC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1020" w:type="dxa"/>
          </w:tcPr>
          <w:p w:rsidR="00766ABC" w:rsidRDefault="00766ABC">
            <w:pPr>
              <w:pStyle w:val="ConsPlusNormal"/>
              <w:jc w:val="center"/>
            </w:pPr>
            <w:r>
              <w:t>Районный бюджет</w:t>
            </w:r>
          </w:p>
        </w:tc>
        <w:tc>
          <w:tcPr>
            <w:tcW w:w="1247" w:type="dxa"/>
          </w:tcPr>
          <w:p w:rsidR="00766ABC" w:rsidRDefault="00766ABC">
            <w:pPr>
              <w:pStyle w:val="ConsPlusNormal"/>
              <w:jc w:val="center"/>
            </w:pPr>
            <w:r>
              <w:t>Бюджеты поселений</w:t>
            </w:r>
          </w:p>
        </w:tc>
      </w:tr>
      <w:tr w:rsidR="00766ABC">
        <w:tc>
          <w:tcPr>
            <w:tcW w:w="2977" w:type="dxa"/>
          </w:tcPr>
          <w:p w:rsidR="00766ABC" w:rsidRDefault="00766ABC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3827" w:type="dxa"/>
          </w:tcPr>
          <w:p w:rsidR="00766ABC" w:rsidRDefault="00766ABC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20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247" w:type="dxa"/>
          </w:tcPr>
          <w:p w:rsidR="00766ABC" w:rsidRDefault="00766ABC">
            <w:pPr>
              <w:pStyle w:val="ConsPlusNormal"/>
            </w:pPr>
          </w:p>
        </w:tc>
      </w:tr>
      <w:tr w:rsidR="00766ABC">
        <w:tc>
          <w:tcPr>
            <w:tcW w:w="2977" w:type="dxa"/>
          </w:tcPr>
          <w:p w:rsidR="00766ABC" w:rsidRDefault="00766ABC">
            <w:pPr>
              <w:pStyle w:val="ConsPlusNormal"/>
              <w:jc w:val="center"/>
            </w:pPr>
            <w:r>
              <w:t>000 1 11 02033 05 0000 120</w:t>
            </w:r>
          </w:p>
        </w:tc>
        <w:tc>
          <w:tcPr>
            <w:tcW w:w="3827" w:type="dxa"/>
          </w:tcPr>
          <w:p w:rsidR="00766ABC" w:rsidRDefault="00766ABC">
            <w:pPr>
              <w:pStyle w:val="ConsPlusNormal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020" w:type="dxa"/>
          </w:tcPr>
          <w:p w:rsidR="00766ABC" w:rsidRDefault="00766ABC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766ABC" w:rsidRDefault="00766ABC">
            <w:pPr>
              <w:pStyle w:val="ConsPlusNormal"/>
            </w:pPr>
          </w:p>
        </w:tc>
      </w:tr>
      <w:tr w:rsidR="00766ABC">
        <w:tc>
          <w:tcPr>
            <w:tcW w:w="2977" w:type="dxa"/>
          </w:tcPr>
          <w:p w:rsidR="00766ABC" w:rsidRDefault="00766ABC">
            <w:pPr>
              <w:pStyle w:val="ConsPlusNormal"/>
              <w:jc w:val="center"/>
            </w:pPr>
            <w:r>
              <w:t>000 1 11 02033 10 0000 120</w:t>
            </w:r>
          </w:p>
        </w:tc>
        <w:tc>
          <w:tcPr>
            <w:tcW w:w="3827" w:type="dxa"/>
          </w:tcPr>
          <w:p w:rsidR="00766ABC" w:rsidRDefault="00766ABC">
            <w:pPr>
              <w:pStyle w:val="ConsPlusNormal"/>
            </w:pPr>
            <w: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020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247" w:type="dxa"/>
          </w:tcPr>
          <w:p w:rsidR="00766ABC" w:rsidRDefault="00766ABC">
            <w:pPr>
              <w:pStyle w:val="ConsPlusNormal"/>
              <w:jc w:val="center"/>
            </w:pPr>
            <w:r>
              <w:t>100</w:t>
            </w:r>
          </w:p>
        </w:tc>
      </w:tr>
      <w:tr w:rsidR="00766ABC">
        <w:tc>
          <w:tcPr>
            <w:tcW w:w="2977" w:type="dxa"/>
          </w:tcPr>
          <w:p w:rsidR="00766ABC" w:rsidRDefault="00766ABC">
            <w:pPr>
              <w:pStyle w:val="ConsPlusNormal"/>
              <w:jc w:val="center"/>
            </w:pPr>
            <w:r>
              <w:t>000 1 11 02033 13 0000 120</w:t>
            </w:r>
          </w:p>
        </w:tc>
        <w:tc>
          <w:tcPr>
            <w:tcW w:w="3827" w:type="dxa"/>
          </w:tcPr>
          <w:p w:rsidR="00766ABC" w:rsidRDefault="00766ABC">
            <w:pPr>
              <w:pStyle w:val="ConsPlusNormal"/>
            </w:pPr>
            <w: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020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247" w:type="dxa"/>
          </w:tcPr>
          <w:p w:rsidR="00766ABC" w:rsidRDefault="00766ABC">
            <w:pPr>
              <w:pStyle w:val="ConsPlusNormal"/>
              <w:jc w:val="center"/>
            </w:pPr>
            <w:r>
              <w:t>100</w:t>
            </w:r>
          </w:p>
        </w:tc>
      </w:tr>
      <w:tr w:rsidR="00766ABC">
        <w:tc>
          <w:tcPr>
            <w:tcW w:w="2977" w:type="dxa"/>
          </w:tcPr>
          <w:p w:rsidR="00766ABC" w:rsidRDefault="00766ABC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3827" w:type="dxa"/>
          </w:tcPr>
          <w:p w:rsidR="00766ABC" w:rsidRDefault="00766ABC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020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247" w:type="dxa"/>
          </w:tcPr>
          <w:p w:rsidR="00766ABC" w:rsidRDefault="00766ABC">
            <w:pPr>
              <w:pStyle w:val="ConsPlusNormal"/>
            </w:pPr>
          </w:p>
        </w:tc>
      </w:tr>
      <w:tr w:rsidR="00766ABC">
        <w:tc>
          <w:tcPr>
            <w:tcW w:w="2977" w:type="dxa"/>
          </w:tcPr>
          <w:p w:rsidR="00766ABC" w:rsidRDefault="00766ABC">
            <w:pPr>
              <w:pStyle w:val="ConsPlusNormal"/>
              <w:jc w:val="center"/>
            </w:pPr>
            <w:r>
              <w:t>000 1 13 02065 05 0000 130</w:t>
            </w:r>
          </w:p>
        </w:tc>
        <w:tc>
          <w:tcPr>
            <w:tcW w:w="3827" w:type="dxa"/>
          </w:tcPr>
          <w:p w:rsidR="00766ABC" w:rsidRDefault="00766ABC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020" w:type="dxa"/>
          </w:tcPr>
          <w:p w:rsidR="00766ABC" w:rsidRDefault="00766ABC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766ABC" w:rsidRDefault="00766ABC">
            <w:pPr>
              <w:pStyle w:val="ConsPlusNormal"/>
            </w:pPr>
          </w:p>
        </w:tc>
      </w:tr>
      <w:tr w:rsidR="00766ABC">
        <w:tc>
          <w:tcPr>
            <w:tcW w:w="2977" w:type="dxa"/>
          </w:tcPr>
          <w:p w:rsidR="00766ABC" w:rsidRDefault="00766ABC">
            <w:pPr>
              <w:pStyle w:val="ConsPlusNormal"/>
              <w:jc w:val="center"/>
            </w:pPr>
            <w:r>
              <w:t>000 1 13 02065 10 0000 130</w:t>
            </w:r>
          </w:p>
        </w:tc>
        <w:tc>
          <w:tcPr>
            <w:tcW w:w="3827" w:type="dxa"/>
          </w:tcPr>
          <w:p w:rsidR="00766ABC" w:rsidRDefault="00766ABC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020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247" w:type="dxa"/>
          </w:tcPr>
          <w:p w:rsidR="00766ABC" w:rsidRDefault="00766ABC">
            <w:pPr>
              <w:pStyle w:val="ConsPlusNormal"/>
              <w:jc w:val="center"/>
            </w:pPr>
            <w:r>
              <w:t>100</w:t>
            </w:r>
          </w:p>
        </w:tc>
      </w:tr>
      <w:tr w:rsidR="00766ABC">
        <w:tc>
          <w:tcPr>
            <w:tcW w:w="2977" w:type="dxa"/>
          </w:tcPr>
          <w:p w:rsidR="00766ABC" w:rsidRDefault="00766ABC">
            <w:pPr>
              <w:pStyle w:val="ConsPlusNormal"/>
              <w:jc w:val="center"/>
            </w:pPr>
            <w:r>
              <w:t>000 1 13 02065 13 0000 130</w:t>
            </w:r>
          </w:p>
        </w:tc>
        <w:tc>
          <w:tcPr>
            <w:tcW w:w="3827" w:type="dxa"/>
          </w:tcPr>
          <w:p w:rsidR="00766ABC" w:rsidRDefault="00766ABC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020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247" w:type="dxa"/>
          </w:tcPr>
          <w:p w:rsidR="00766ABC" w:rsidRDefault="00766ABC">
            <w:pPr>
              <w:pStyle w:val="ConsPlusNormal"/>
              <w:jc w:val="center"/>
            </w:pPr>
            <w:r>
              <w:t>100</w:t>
            </w:r>
          </w:p>
        </w:tc>
      </w:tr>
    </w:tbl>
    <w:p w:rsidR="00766ABC" w:rsidRDefault="00766ABC" w:rsidP="00A833A1">
      <w:pPr>
        <w:pStyle w:val="ConsPlusNormal"/>
      </w:pPr>
    </w:p>
    <w:sectPr w:rsidR="00766ABC" w:rsidSect="00A833A1">
      <w:type w:val="continuous"/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3C25AF"/>
    <w:rsid w:val="0064798D"/>
    <w:rsid w:val="00766ABC"/>
    <w:rsid w:val="00A833A1"/>
    <w:rsid w:val="00A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90199-10B2-4BFA-8755-3021EB6C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2023-07-28T11:22:00Z</dcterms:created>
  <dcterms:modified xsi:type="dcterms:W3CDTF">2023-07-28T11:22:00Z</dcterms:modified>
</cp:coreProperties>
</file>