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 w:rsidP="004D3F14">
      <w:pPr>
        <w:pStyle w:val="ConsPlusNormal"/>
        <w:jc w:val="right"/>
        <w:outlineLvl w:val="0"/>
      </w:pPr>
      <w:r>
        <w:t>Приложение 14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0" w:name="P8980"/>
      <w:bookmarkEnd w:id="0"/>
      <w:r>
        <w:t>МЕТОДИКА</w:t>
      </w:r>
    </w:p>
    <w:p w:rsidR="00C01FE3" w:rsidRDefault="00C01FE3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C01FE3" w:rsidRDefault="00C01FE3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C01FE3" w:rsidRDefault="00C01FE3">
      <w:pPr>
        <w:pStyle w:val="ConsPlusTitle"/>
        <w:jc w:val="center"/>
      </w:pPr>
      <w:r>
        <w:t>ПОСЕЛЕНИЙ ИЗ РАЙОННОГО БЮДЖЕТА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рассчитывается по формуле: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922020" cy="26797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115" cy="302895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2023 (2024, 2025) год.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63140" cy="27686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01.07.2022).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</w:t>
      </w:r>
      <w:r>
        <w:lastRenderedPageBreak/>
        <w:t xml:space="preserve">аренду имущества, составляющего казну сельских поселений (за исключением земельных участков), по данным отчетности муниципальных образований на 01.07.2022, но не выше суммы, исключенной из доходов в соответствии с </w:t>
      </w:r>
      <w:hyperlink w:anchor="P9015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исключенной из доходов при расчете межбюджетного трансферта на сбалансированность на 2022 год;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276860" cy="22606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роста расходов на прочие затраты принимается равным 1,0;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01320" cy="27686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600,0 руб. на 1 человека (численность населения сельского поселения принимается равной численности постоянного населения по данным Росстата на 1 января 2022 года).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16730" cy="26797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7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28650" cy="26797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9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68350" cy="26797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lastRenderedPageBreak/>
        <w:t>- 10 единиц по должности главный специалист, 3 единицы по должности ведущий специалист - для городского поселения;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сельского поселения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объеме не более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 При этом месячный фонд оплаты труда учитывается в размере не меньше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</w:t>
      </w:r>
      <w:hyperlink r:id="rId23">
        <w:r>
          <w:rPr>
            <w:color w:val="0000FF"/>
          </w:rPr>
          <w:t>главой 34</w:t>
        </w:r>
      </w:hyperlink>
      <w:r>
        <w:t xml:space="preserve">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C01FE3" w:rsidRDefault="00C01FE3">
      <w:pPr>
        <w:pStyle w:val="ConsPlusNormal"/>
        <w:spacing w:before="220"/>
        <w:ind w:firstLine="540"/>
        <w:jc w:val="both"/>
      </w:pPr>
      <w:bookmarkStart w:id="1" w:name="P9015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29280" cy="26797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0515" cy="26797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lastRenderedPageBreak/>
        <w:drawing>
          <wp:inline distT="0" distB="0" distL="0" distR="0">
            <wp:extent cx="276860" cy="26797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сельских поселений (за исключением земельных участков);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C01FE3" w:rsidRDefault="00C01FE3">
      <w:pPr>
        <w:pStyle w:val="ConsPlusNormal"/>
        <w:spacing w:before="220"/>
        <w:ind w:firstLine="540"/>
        <w:jc w:val="both"/>
      </w:pPr>
      <w:bookmarkStart w:id="2" w:name="P9024"/>
      <w:bookmarkEnd w:id="2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</w:t>
      </w:r>
      <w:r>
        <w:lastRenderedPageBreak/>
        <w:t>настоящей Методикой;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C01FE3" w:rsidRDefault="00C01FE3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C01FE3" w:rsidRDefault="00C01FE3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9024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подлежит пересчету.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  <w:bookmarkStart w:id="3" w:name="_GoBack"/>
      <w:bookmarkEnd w:id="3"/>
    </w:p>
    <w:sectPr w:rsidR="00C01F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F743C"/>
    <w:rsid w:val="001F1C68"/>
    <w:rsid w:val="004D3F14"/>
    <w:rsid w:val="005C3024"/>
    <w:rsid w:val="00796EB2"/>
    <w:rsid w:val="00836F40"/>
    <w:rsid w:val="00936B04"/>
    <w:rsid w:val="0095004F"/>
    <w:rsid w:val="00957F35"/>
    <w:rsid w:val="00C01FE3"/>
    <w:rsid w:val="00C13D42"/>
    <w:rsid w:val="00C97164"/>
    <w:rsid w:val="00CD75D7"/>
    <w:rsid w:val="00D43452"/>
    <w:rsid w:val="00E2313B"/>
    <w:rsid w:val="00FC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C0912E9CDC4422C033DA5380E1AF0B5D656A616307EBD504826699C3B9DC02AD56D8CD0FF8042FAB120E38044C05B991AB3C608B9816F9DFDFE7BEm5T7O" TargetMode="External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5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hyperlink" Target="consultantplus://offline/ref=C0912E9CDC4422C033DA4D8DF7C35C5162643B6C0BE3DB5ADC39C29EEED508FA1197944DBF0A26A9195A6847125CEBD4E03063948417FBmCT2O" TargetMode="External"/><Relationship Id="rId28" Type="http://schemas.openxmlformats.org/officeDocument/2006/relationships/image" Target="media/image22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C0912E9CDC4422C033DA5380E1AF0B5D656A616307EBD504826699C3B9DC02AD56D8CD0FF8042FAB120E38044C05B991AB3C608B9816F9DFDFE7BEm5T7O" TargetMode="External"/><Relationship Id="rId31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7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8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1830</Words>
  <Characters>10432</Characters>
  <Application>Microsoft Office Word</Application>
  <DocSecurity>0</DocSecurity>
  <Lines>86</Lines>
  <Paragraphs>24</Paragraphs>
  <ScaleCrop>false</ScaleCrop>
  <Company/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2023-10-31T14:19:00Z</dcterms:created>
  <dcterms:modified xsi:type="dcterms:W3CDTF">2023-11-01T07:00:00Z</dcterms:modified>
</cp:coreProperties>
</file>