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B78" w:rsidRDefault="00CF5B78" w:rsidP="00CF5B78">
      <w:pPr>
        <w:pStyle w:val="ConsPlusNormal"/>
        <w:jc w:val="right"/>
        <w:outlineLvl w:val="0"/>
      </w:pPr>
      <w:bookmarkStart w:id="0" w:name="_GoBack"/>
      <w:bookmarkEnd w:id="0"/>
      <w:r>
        <w:t>Приложение 15</w:t>
      </w:r>
    </w:p>
    <w:p w:rsidR="00CF5B78" w:rsidRDefault="00CF5B78" w:rsidP="00CF5B78">
      <w:pPr>
        <w:pStyle w:val="ConsPlusNormal"/>
        <w:jc w:val="right"/>
      </w:pPr>
      <w:r>
        <w:t>к решению Совета Заполярного района</w:t>
      </w:r>
    </w:p>
    <w:p w:rsidR="00CF5B78" w:rsidRDefault="00CF5B78" w:rsidP="00CF5B78">
      <w:pPr>
        <w:pStyle w:val="ConsPlusNormal"/>
        <w:jc w:val="right"/>
      </w:pPr>
      <w:r>
        <w:t>от 22.12.2022 N 219-р</w:t>
      </w:r>
    </w:p>
    <w:p w:rsidR="00CF5B78" w:rsidRDefault="00CF5B78" w:rsidP="00CF5B78">
      <w:pPr>
        <w:pStyle w:val="ConsPlusNormal"/>
        <w:ind w:firstLine="540"/>
        <w:jc w:val="both"/>
      </w:pPr>
    </w:p>
    <w:p w:rsidR="00CF5B78" w:rsidRDefault="00CF5B78" w:rsidP="00CF5B78">
      <w:pPr>
        <w:pStyle w:val="ConsPlusTitle"/>
        <w:jc w:val="center"/>
      </w:pPr>
      <w:bookmarkStart w:id="1" w:name="P8522"/>
      <w:bookmarkEnd w:id="1"/>
      <w:r>
        <w:t>РАСПРЕДЕЛЕНИЕ</w:t>
      </w:r>
    </w:p>
    <w:p w:rsidR="00CF5B78" w:rsidRDefault="00CF5B78" w:rsidP="00CF5B78">
      <w:pPr>
        <w:pStyle w:val="ConsPlusTitle"/>
        <w:jc w:val="center"/>
      </w:pPr>
      <w:r>
        <w:t>ИНЫХ МЕЖБЮДЖЕТНЫХ ТРАНСФЕРТОВ НА ПОДДЕРЖКУ МЕР</w:t>
      </w:r>
    </w:p>
    <w:p w:rsidR="00CF5B78" w:rsidRDefault="00CF5B78" w:rsidP="00CF5B78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CF5B78" w:rsidRDefault="00CF5B78" w:rsidP="00CF5B78">
      <w:pPr>
        <w:pStyle w:val="ConsPlusTitle"/>
        <w:jc w:val="center"/>
      </w:pPr>
      <w:r>
        <w:t>МУНИЦИПАЛЬНОГО РАЙОНА "ЗАПОЛЯРНЫЙ РАЙОН" НА 2023 ГОД</w:t>
      </w:r>
    </w:p>
    <w:p w:rsidR="00CF5B78" w:rsidRDefault="00CF5B78" w:rsidP="00CF5B78">
      <w:pPr>
        <w:pStyle w:val="ConsPlusTitle"/>
        <w:jc w:val="center"/>
      </w:pPr>
      <w:r>
        <w:t>И ПЛАНОВЫЙ ПЕРИОД 2024 - 2025 ГОДОВ</w:t>
      </w:r>
    </w:p>
    <w:p w:rsidR="00CF5B78" w:rsidRDefault="00CF5B78" w:rsidP="00CF5B7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F5B78" w:rsidTr="00BB21D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F5B78" w:rsidRDefault="00CF5B78" w:rsidP="00BB21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5B78" w:rsidRDefault="00CF5B78" w:rsidP="00BB21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F5B78" w:rsidRDefault="00CF5B78" w:rsidP="00BB2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F5B78" w:rsidRDefault="00CF5B78" w:rsidP="00BB2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F5B78" w:rsidRDefault="00CF5B78" w:rsidP="00BB21DF">
            <w:pPr>
              <w:pStyle w:val="ConsPlusNormal"/>
              <w:jc w:val="center"/>
            </w:pPr>
            <w:r>
              <w:rPr>
                <w:color w:val="392C69"/>
              </w:rPr>
              <w:t>от 21.12.2023 N 284-р)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5B78" w:rsidRDefault="00CF5B78" w:rsidP="00BB21DF">
            <w:pPr>
              <w:pStyle w:val="ConsPlusNormal"/>
            </w:pPr>
          </w:p>
        </w:tc>
      </w:tr>
    </w:tbl>
    <w:p w:rsidR="00CF5B78" w:rsidRDefault="00CF5B78" w:rsidP="00CF5B78">
      <w:pPr>
        <w:pStyle w:val="ConsPlusNormal"/>
        <w:ind w:firstLine="540"/>
        <w:jc w:val="both"/>
      </w:pPr>
    </w:p>
    <w:p w:rsidR="00CF5B78" w:rsidRDefault="00CF5B78" w:rsidP="00CF5B78">
      <w:pPr>
        <w:pStyle w:val="ConsPlusNormal"/>
        <w:jc w:val="right"/>
      </w:pPr>
      <w:r>
        <w:t>тыс. рублей</w:t>
      </w:r>
    </w:p>
    <w:p w:rsidR="00CF5B78" w:rsidRDefault="00CF5B78" w:rsidP="00CF5B78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1460"/>
        <w:gridCol w:w="1460"/>
        <w:gridCol w:w="1460"/>
      </w:tblGrid>
      <w:tr w:rsidR="00CF5B78" w:rsidTr="00AE68F5">
        <w:tc>
          <w:tcPr>
            <w:tcW w:w="4957" w:type="dxa"/>
            <w:vMerge w:val="restart"/>
          </w:tcPr>
          <w:p w:rsidR="00CF5B78" w:rsidRDefault="00CF5B78" w:rsidP="00BB21DF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4380" w:type="dxa"/>
            <w:gridSpan w:val="3"/>
          </w:tcPr>
          <w:p w:rsidR="00CF5B78" w:rsidRDefault="00CF5B78" w:rsidP="00BB21DF">
            <w:pPr>
              <w:pStyle w:val="ConsPlusNormal"/>
              <w:jc w:val="center"/>
            </w:pPr>
            <w:r>
              <w:t>Сумма</w:t>
            </w:r>
          </w:p>
        </w:tc>
      </w:tr>
      <w:tr w:rsidR="00CF5B78" w:rsidTr="00AE68F5">
        <w:tc>
          <w:tcPr>
            <w:tcW w:w="4957" w:type="dxa"/>
            <w:vMerge/>
          </w:tcPr>
          <w:p w:rsidR="00CF5B78" w:rsidRDefault="00CF5B78" w:rsidP="00BB21DF">
            <w:pPr>
              <w:pStyle w:val="ConsPlusNormal"/>
            </w:pP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center"/>
            </w:pPr>
            <w:r>
              <w:t>2025 год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2 928,8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2 974,4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2 904,5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14 773,5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14 673,4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14 335,5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7 247,9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5 630,0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4 991,8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7 944,4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7 873,3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7 656,4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9 066,5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8 803,5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8 511,6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5 548,9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5 529,4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5 364,6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8 052,1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7 060,8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6 692,7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6 516,2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6 473,7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6 122,9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</w:t>
            </w:r>
            <w:r>
              <w:lastRenderedPageBreak/>
              <w:t>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lastRenderedPageBreak/>
              <w:t>9 672,7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9 694,4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9 370,7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7 853,3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7 540,9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7 079,0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9 657,0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9 673,4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9 428,5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11 978,9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8 626,7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8 753,5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6 150,4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5 434,9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5 122,1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7 422,8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7 369,2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7 172,0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8 947,1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9 000,6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8 828,0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8 313,2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8 026,3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7 732,3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9 235,7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9 229,4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9 035,2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36 042,2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35 458,1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35 692,6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Итого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177 351,6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169 072,4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164 793,9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2 387,2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3 256,5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3 256,5</w:t>
            </w:r>
          </w:p>
        </w:tc>
      </w:tr>
      <w:tr w:rsidR="00CF5B78" w:rsidTr="00AE68F5">
        <w:tc>
          <w:tcPr>
            <w:tcW w:w="4957" w:type="dxa"/>
          </w:tcPr>
          <w:p w:rsidR="00CF5B78" w:rsidRDefault="00CF5B78" w:rsidP="00BB21DF">
            <w:pPr>
              <w:pStyle w:val="ConsPlusNormal"/>
            </w:pPr>
            <w:r>
              <w:t>ВСЕГО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179 738,8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172 328,9</w:t>
            </w:r>
          </w:p>
        </w:tc>
        <w:tc>
          <w:tcPr>
            <w:tcW w:w="1460" w:type="dxa"/>
          </w:tcPr>
          <w:p w:rsidR="00CF5B78" w:rsidRDefault="00CF5B78" w:rsidP="00BB21DF">
            <w:pPr>
              <w:pStyle w:val="ConsPlusNormal"/>
              <w:jc w:val="right"/>
            </w:pPr>
            <w:r>
              <w:t>168 050,4</w:t>
            </w:r>
          </w:p>
        </w:tc>
      </w:tr>
    </w:tbl>
    <w:p w:rsidR="00CF5B78" w:rsidRDefault="00CF5B78" w:rsidP="00CF5B78">
      <w:pPr>
        <w:pStyle w:val="ConsPlusNormal"/>
        <w:ind w:firstLine="540"/>
        <w:jc w:val="both"/>
      </w:pPr>
    </w:p>
    <w:p w:rsidR="002B07DC" w:rsidRDefault="002B07DC"/>
    <w:sectPr w:rsidR="002B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B78"/>
    <w:rsid w:val="002B07DC"/>
    <w:rsid w:val="006E0C41"/>
    <w:rsid w:val="00AE68F5"/>
    <w:rsid w:val="00C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7E168-8E64-4263-8306-F3B526BB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5B7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F5B7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7755&amp;dst=1000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Кузьменюк Николай Николаевич</cp:lastModifiedBy>
  <cp:revision>2</cp:revision>
  <dcterms:created xsi:type="dcterms:W3CDTF">2024-01-19T08:37:00Z</dcterms:created>
  <dcterms:modified xsi:type="dcterms:W3CDTF">2024-01-19T08:37:00Z</dcterms:modified>
</cp:coreProperties>
</file>