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E48" w:rsidRPr="001B5A27" w:rsidRDefault="005D2E48" w:rsidP="005D2E48">
      <w:pPr>
        <w:ind w:left="900"/>
        <w:jc w:val="right"/>
        <w:rPr>
          <w:sz w:val="26"/>
          <w:szCs w:val="26"/>
        </w:rPr>
      </w:pPr>
      <w:r w:rsidRPr="001B5A27">
        <w:rPr>
          <w:sz w:val="26"/>
          <w:szCs w:val="26"/>
        </w:rPr>
        <w:t xml:space="preserve">Приложение </w:t>
      </w:r>
      <w:r>
        <w:rPr>
          <w:sz w:val="26"/>
          <w:szCs w:val="26"/>
        </w:rPr>
        <w:t>1</w:t>
      </w:r>
    </w:p>
    <w:p w:rsidR="005D2E48" w:rsidRPr="001B5A27" w:rsidRDefault="005D2E48" w:rsidP="005D2E48">
      <w:pPr>
        <w:ind w:left="900"/>
        <w:jc w:val="right"/>
        <w:rPr>
          <w:sz w:val="26"/>
          <w:szCs w:val="26"/>
        </w:rPr>
      </w:pPr>
      <w:r w:rsidRPr="001B5A27">
        <w:rPr>
          <w:sz w:val="26"/>
          <w:szCs w:val="26"/>
        </w:rPr>
        <w:t>к решению Совета Заполярного района</w:t>
      </w:r>
    </w:p>
    <w:p w:rsidR="005D2E48" w:rsidRPr="001B5A27" w:rsidRDefault="005D2E48" w:rsidP="005D2E48">
      <w:pPr>
        <w:ind w:left="900"/>
        <w:jc w:val="right"/>
        <w:rPr>
          <w:sz w:val="26"/>
          <w:szCs w:val="26"/>
        </w:rPr>
      </w:pPr>
      <w:r>
        <w:rPr>
          <w:sz w:val="26"/>
          <w:szCs w:val="26"/>
        </w:rPr>
        <w:t xml:space="preserve">от 14 ноября 2024 года </w:t>
      </w:r>
      <w:r w:rsidRPr="001B5A27">
        <w:rPr>
          <w:sz w:val="26"/>
          <w:szCs w:val="26"/>
        </w:rPr>
        <w:t>№ ___-р</w:t>
      </w:r>
    </w:p>
    <w:p w:rsidR="005D2E48" w:rsidRDefault="005D2E48" w:rsidP="005D2E48">
      <w:pPr>
        <w:jc w:val="right"/>
        <w:rPr>
          <w:sz w:val="26"/>
          <w:szCs w:val="26"/>
        </w:rPr>
      </w:pPr>
    </w:p>
    <w:p w:rsidR="005D2E48" w:rsidRPr="008455CA" w:rsidRDefault="005D2E48" w:rsidP="005D2E48">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5D2E48" w:rsidRPr="008455CA" w:rsidRDefault="005D2E48" w:rsidP="005D2E48">
      <w:pPr>
        <w:jc w:val="right"/>
        <w:rPr>
          <w:sz w:val="26"/>
          <w:szCs w:val="26"/>
        </w:rPr>
      </w:pPr>
      <w:r w:rsidRPr="008455CA">
        <w:rPr>
          <w:sz w:val="26"/>
          <w:szCs w:val="26"/>
        </w:rPr>
        <w:t>к решению Совета Заполярного района</w:t>
      </w:r>
    </w:p>
    <w:p w:rsidR="005D2E48" w:rsidRDefault="005D2E48" w:rsidP="005D2E48">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5D2E48" w:rsidRDefault="005D2E48" w:rsidP="005D2E48">
      <w:pPr>
        <w:jc w:val="right"/>
        <w:rPr>
          <w:sz w:val="26"/>
          <w:szCs w:val="26"/>
        </w:rPr>
      </w:pPr>
    </w:p>
    <w:p w:rsidR="005D2E48" w:rsidRDefault="005D2E48" w:rsidP="005D2E48">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5D2E48" w:rsidRDefault="005D2E48" w:rsidP="005D2E48">
      <w:pPr>
        <w:jc w:val="center"/>
        <w:rPr>
          <w:b/>
          <w:sz w:val="22"/>
          <w:szCs w:val="22"/>
        </w:rPr>
      </w:pPr>
      <w:r w:rsidRPr="007403BC">
        <w:rPr>
          <w:b/>
          <w:sz w:val="22"/>
          <w:szCs w:val="22"/>
        </w:rPr>
        <w:t>на 2024 год и плановый период 2025-2026 годов</w:t>
      </w:r>
    </w:p>
    <w:p w:rsidR="005D2E48" w:rsidRDefault="005D2E48" w:rsidP="005D2E48">
      <w:pPr>
        <w:jc w:val="right"/>
        <w:rPr>
          <w:sz w:val="26"/>
          <w:szCs w:val="26"/>
        </w:rPr>
      </w:pPr>
    </w:p>
    <w:p w:rsidR="005D2E48" w:rsidRDefault="005D2E48" w:rsidP="005D2E48">
      <w:pPr>
        <w:jc w:val="right"/>
        <w:rPr>
          <w:sz w:val="26"/>
          <w:szCs w:val="26"/>
        </w:rPr>
      </w:pPr>
      <w:r>
        <w:rPr>
          <w:sz w:val="22"/>
          <w:szCs w:val="22"/>
        </w:rPr>
        <w:t>тыс. рублей</w:t>
      </w:r>
    </w:p>
    <w:tbl>
      <w:tblPr>
        <w:tblW w:w="9918" w:type="dxa"/>
        <w:tblInd w:w="-431" w:type="dxa"/>
        <w:tblLook w:val="04A0" w:firstRow="1" w:lastRow="0" w:firstColumn="1" w:lastColumn="0" w:noHBand="0" w:noVBand="1"/>
      </w:tblPr>
      <w:tblGrid>
        <w:gridCol w:w="2830"/>
        <w:gridCol w:w="3261"/>
        <w:gridCol w:w="1275"/>
        <w:gridCol w:w="1276"/>
        <w:gridCol w:w="1276"/>
      </w:tblGrid>
      <w:tr w:rsidR="005D2E48" w:rsidTr="00272812">
        <w:trPr>
          <w:trHeight w:val="600"/>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48" w:rsidRDefault="005D2E48" w:rsidP="00061CCB">
            <w:pPr>
              <w:jc w:val="center"/>
              <w:rPr>
                <w:sz w:val="22"/>
                <w:szCs w:val="22"/>
              </w:rPr>
            </w:pPr>
            <w:r>
              <w:rPr>
                <w:sz w:val="22"/>
                <w:szCs w:val="22"/>
              </w:rPr>
              <w:t>Код бюджетной классификации</w:t>
            </w:r>
            <w:bookmarkStart w:id="0" w:name="_GoBack"/>
            <w:bookmarkEnd w:id="0"/>
            <w:r>
              <w:rPr>
                <w:sz w:val="22"/>
                <w:szCs w:val="22"/>
              </w:rPr>
              <w:t xml:space="preserve"> Российской Федерации</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2E48" w:rsidRDefault="005D2E48" w:rsidP="00061CCB">
            <w:pPr>
              <w:jc w:val="center"/>
              <w:rPr>
                <w:sz w:val="22"/>
                <w:szCs w:val="22"/>
              </w:rPr>
            </w:pPr>
            <w:r>
              <w:rPr>
                <w:sz w:val="22"/>
                <w:szCs w:val="22"/>
              </w:rPr>
              <w:t>Наименование статьи дохода</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5D2E48" w:rsidRDefault="005D2E48" w:rsidP="00061CCB">
            <w:pPr>
              <w:jc w:val="center"/>
              <w:rPr>
                <w:sz w:val="22"/>
                <w:szCs w:val="22"/>
              </w:rPr>
            </w:pPr>
            <w:r>
              <w:rPr>
                <w:sz w:val="22"/>
                <w:szCs w:val="22"/>
              </w:rPr>
              <w:t>Сумма</w:t>
            </w:r>
          </w:p>
        </w:tc>
      </w:tr>
      <w:tr w:rsidR="005D2E48" w:rsidTr="00272812">
        <w:trPr>
          <w:trHeight w:val="30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5D2E48" w:rsidRDefault="005D2E48" w:rsidP="00061CCB">
            <w:pPr>
              <w:rPr>
                <w:sz w:val="22"/>
                <w:szCs w:val="22"/>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D2E48" w:rsidRDefault="005D2E48" w:rsidP="00061CCB">
            <w:pPr>
              <w:rPr>
                <w:sz w:val="22"/>
                <w:szCs w:val="22"/>
              </w:rPr>
            </w:pPr>
          </w:p>
        </w:tc>
        <w:tc>
          <w:tcPr>
            <w:tcW w:w="1275" w:type="dxa"/>
            <w:tcBorders>
              <w:top w:val="nil"/>
              <w:left w:val="nil"/>
              <w:bottom w:val="single" w:sz="4" w:space="0" w:color="auto"/>
              <w:right w:val="single" w:sz="4" w:space="0" w:color="auto"/>
            </w:tcBorders>
            <w:shd w:val="clear" w:color="auto" w:fill="auto"/>
            <w:vAlign w:val="center"/>
            <w:hideMark/>
          </w:tcPr>
          <w:p w:rsidR="005D2E48" w:rsidRDefault="005D2E48" w:rsidP="00061CCB">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5D2E48" w:rsidRDefault="005D2E48" w:rsidP="00061CCB">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5D2E48" w:rsidRDefault="005D2E48" w:rsidP="00061CCB">
            <w:pPr>
              <w:jc w:val="center"/>
              <w:rPr>
                <w:sz w:val="22"/>
                <w:szCs w:val="22"/>
              </w:rPr>
            </w:pPr>
            <w:r>
              <w:rPr>
                <w:sz w:val="22"/>
                <w:szCs w:val="22"/>
              </w:rPr>
              <w:t>2026 год</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000 8 50 00000 00 0000 000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ВСЕГО ДОХОДОВ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1 742 873,9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1 560 183,1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1 564 391,3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000 1 00 00000 00 0000 000</w:t>
            </w:r>
          </w:p>
        </w:tc>
        <w:tc>
          <w:tcPr>
            <w:tcW w:w="3261"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Налоговые и неналоговые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1 539 771,8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1 523 805,0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ind w:left="-102"/>
              <w:jc w:val="right"/>
              <w:rPr>
                <w:b/>
                <w:bCs/>
                <w:sz w:val="22"/>
                <w:szCs w:val="22"/>
              </w:rPr>
            </w:pPr>
            <w:r>
              <w:rPr>
                <w:b/>
                <w:bCs/>
                <w:sz w:val="22"/>
                <w:szCs w:val="22"/>
              </w:rPr>
              <w:t xml:space="preserve"> 1 549 917,1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000 1 01 00000 00 0000 000</w:t>
            </w:r>
          </w:p>
        </w:tc>
        <w:tc>
          <w:tcPr>
            <w:tcW w:w="3261"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rPr>
                <w:b/>
                <w:bCs/>
                <w:sz w:val="22"/>
                <w:szCs w:val="22"/>
              </w:rPr>
            </w:pPr>
            <w:r>
              <w:rPr>
                <w:b/>
                <w:bCs/>
                <w:sz w:val="22"/>
                <w:szCs w:val="22"/>
              </w:rPr>
              <w:t>Налоги на прибыль,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825 663,6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830 617,4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830 617,4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182 1 01 02010 01 0000 110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817 087,9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821 990,2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821 990,2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182 1 01 02080 01 0000 110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8 575,7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8 627,2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8 627,2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000 1 05 00000 00 0000 000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Налоги на совокупный доход</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15 796,0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15 933,3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17 815,8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182 1 05 01011 01 0000 110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13,0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182 1 05 03010 01 0000 110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Единый сельскохозяйственный налог</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15 193,5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15 325,1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17 201,8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182 1 05 04020 02 0000 110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589,5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595,2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601,0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000 1 06 00000 00 0000 000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Налоги на имущество</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1 246,0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1 463,6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1 463,6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182 1 06 01030 05 0000 110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24,0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182 1 06 06033 05 0000 110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1 208,0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1 425,6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1 425,6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182 1 06 06043 05 0000 110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000 1 08 00000 00 0000 000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Государственная пошлина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235,0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182 1 08 03010 01 0000 110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235,0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000 1 11 00000 00 0000 000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621 846,2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637 228,1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662 264,2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005 1 11 05013 05 0000 120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610 537,8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625 930,4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650 967,6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005 1 11 05013 13 0000 120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2 717,0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2 825,7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2 938,7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042 1 11 05025 05 0000 120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4 214,1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4 140,4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4 139,4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034 1 11 05035 05 0000 120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146,3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042 1 11 05075 05 0000 120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3 909,8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3 851,6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3 859,0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034 1 11 07015 05 0000 120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13,7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14,3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042 1 11 09045 05 0000 120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159,2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042 1 11 09080 05 0000 120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162,0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160,8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39,7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000 1 12 00000 00 0000 000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Платежи при пользовании природными ресурсами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33 463,6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000 1 12 01000 01 0000 120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негативное воздействие на окружающую среду</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33 463,6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048 1 12 01010 01 0000 120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выбросы загрязняющих веществ в атмосферный воздух стационарными объектами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20 901,1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12 484,9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12 201,2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048 1 12 01030 01 0000 120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сбросы загрязняющих веществ в водные объекты</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4,3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048 1 12 01041 01 0000 120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размещение отходов производства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269,8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45,5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44,5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048 1 12 01042 01 0000 120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размещение твердых коммунальных отходов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048 1 12 01070 01 0000 120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19 822,0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21 735,3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21 213,6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000 1 13 00000 00 0000 000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Доходы от оказания платных услуг и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10 109,3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4 057,5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4 057,5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000 1 13 01000 00 0000 130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 xml:space="preserve">Доходы от оказания платных услуг (работ) </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034 1 13 01995 05 0000 130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2,6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000 1 13 02000 00 0000 130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Доходы от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10 106,7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4 054,9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034 1 13 02065 05 0000 130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4 054,9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034 1 13 02995 05 0000 130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доходы от компенсации затрат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6 045,7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046 1 13 02995 05 0000 130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доходы от компенсации затрат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lastRenderedPageBreak/>
              <w:t xml:space="preserve">000 1 14 00000 00 0000 000 </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1 533,8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005 1 14 06013 05 0000 430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782,8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005 1 14 06013 13 0000 430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751,0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000 1 16 00000 00 0000 000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Штрафы, санкции, возмещение ущерба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22 346,5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009 1 16 01053 01 0000 140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010 1 16 01053 01 0000 140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009 1 16 01063 01 0000 140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21,5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010 1 16 01063 01 0000 140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0,7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009 1 16 01073 01 0000 140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009 1 16 01083 01 0000 140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18,4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009 1 16 01153 01 0000 140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7,0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040 1 16 01154 01 0000 140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51,0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046 1 16 01154 01 0000 140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10,0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009 1 16 01173 01 0000 140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0,9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009 1 16 01193 01 0000 140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10 717,6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009 1 16 01203 01 0000 140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98,3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010 1 16 01203 01 0000 140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034 1 16 07010 05 0000 140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3 989,6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034 1 16 07090 05 0000 140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9,0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048 1 16 10123 01 0000 140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188 1 16 10123 01 0000 140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0,6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019 1 16 11050 01 0000 140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034 1 16 11050 01 0000 140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048 1 16 11130 01 0000 140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7 391,5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000 2 00 00000 00 0000 000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jc w:val="center"/>
              <w:rPr>
                <w:b/>
                <w:bCs/>
                <w:sz w:val="22"/>
                <w:szCs w:val="22"/>
              </w:rPr>
            </w:pPr>
            <w:r>
              <w:rPr>
                <w:b/>
                <w:bCs/>
                <w:sz w:val="22"/>
                <w:szCs w:val="22"/>
              </w:rPr>
              <w:t xml:space="preserve">Безвозмездные поступления </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203 102,1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14 474,2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000 2 02 00000 00 0000 000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203 509,3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14 474,2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000 2 02 20000 00 0000 150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188 664,0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000 2 02 20077 05 0000 150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034 2 02 20077 05 0000 150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000 2 02 29999 05 0000 150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субсидии бюджетам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38 451,4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034 2 02 29999 05 0000 150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31 645,0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034 2 02 29999 05 0000 150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6 806,4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000 2 02 30000 00 0000 150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Субвенции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3 688,2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3 902,4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3 817,1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000 2 02 30024 05 0000 150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3 677,2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034 2 02 30024 05 0000 150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3 677,2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034 2 02 35120 05 0000 150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139,9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000 2 02 40000 00 0000 150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11 157,1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10 657,1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046 2 02 40014 05 0000 150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10 657,1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lastRenderedPageBreak/>
              <w:t>034 2 02 49999 05 0000 150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межбюджетные трансферты, передаваемые бюджетам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500,0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000 2 07 00000 00 0000 000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Прочие безвозмездные поступления</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000 2 07 05000 05 0000 150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Прочие безвозмездные поступления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041 2 07 05030 05 0000 150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Прочие безвозмездные поступления в бюджеты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000 2 19 00000 00 0000 000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b/>
                <w:bCs/>
                <w:sz w:val="22"/>
                <w:szCs w:val="22"/>
              </w:rPr>
            </w:pPr>
            <w:r>
              <w:rPr>
                <w:b/>
                <w:bCs/>
                <w:sz w:val="22"/>
                <w:szCs w:val="22"/>
              </w:rPr>
              <w:t>000 2 19 00000 05 0000 150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b/>
                <w:bCs/>
                <w:sz w:val="22"/>
                <w:szCs w:val="22"/>
              </w:rPr>
            </w:pPr>
            <w:r>
              <w:rPr>
                <w:b/>
                <w:bCs/>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034 2 19 60010 05 0000 150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- 777,2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r w:rsidR="005D2E48" w:rsidTr="00272812">
        <w:trPr>
          <w:cantSplit/>
          <w:trHeight w:val="2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5D2E48" w:rsidRDefault="005D2E48" w:rsidP="00061CCB">
            <w:pPr>
              <w:jc w:val="center"/>
              <w:rPr>
                <w:sz w:val="22"/>
                <w:szCs w:val="22"/>
              </w:rPr>
            </w:pPr>
            <w:r>
              <w:rPr>
                <w:sz w:val="22"/>
                <w:szCs w:val="22"/>
              </w:rPr>
              <w:t>046 2 19 60010 05 0000 150</w:t>
            </w:r>
          </w:p>
        </w:tc>
        <w:tc>
          <w:tcPr>
            <w:tcW w:w="3261" w:type="dxa"/>
            <w:tcBorders>
              <w:top w:val="nil"/>
              <w:left w:val="nil"/>
              <w:bottom w:val="single" w:sz="4" w:space="0" w:color="auto"/>
              <w:right w:val="single" w:sz="4" w:space="0" w:color="auto"/>
            </w:tcBorders>
            <w:shd w:val="clear" w:color="auto" w:fill="auto"/>
            <w:vAlign w:val="bottom"/>
            <w:hideMark/>
          </w:tcPr>
          <w:p w:rsidR="005D2E48" w:rsidRDefault="005D2E48" w:rsidP="00061CCB">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- 22,0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5D2E48" w:rsidRDefault="005D2E48" w:rsidP="00061CCB">
            <w:pPr>
              <w:jc w:val="right"/>
              <w:rPr>
                <w:sz w:val="22"/>
                <w:szCs w:val="22"/>
              </w:rPr>
            </w:pPr>
            <w:r>
              <w:rPr>
                <w:sz w:val="22"/>
                <w:szCs w:val="22"/>
              </w:rPr>
              <w:t xml:space="preserve"> - </w:t>
            </w:r>
          </w:p>
        </w:tc>
      </w:tr>
    </w:tbl>
    <w:p w:rsidR="005D2E48" w:rsidRDefault="005D2E48" w:rsidP="005D2E48">
      <w:pPr>
        <w:jc w:val="right"/>
        <w:rPr>
          <w:sz w:val="26"/>
          <w:szCs w:val="26"/>
        </w:rPr>
      </w:pPr>
      <w:r>
        <w:rPr>
          <w:sz w:val="26"/>
          <w:szCs w:val="26"/>
        </w:rPr>
        <w:t>».</w:t>
      </w:r>
    </w:p>
    <w:p w:rsidR="000A3E5E" w:rsidRDefault="000A3E5E"/>
    <w:sectPr w:rsidR="000A3E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875"/>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2345"/>
        </w:tabs>
        <w:ind w:left="2345"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3"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B16073"/>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9"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523967"/>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4"/>
  </w:num>
  <w:num w:numId="3">
    <w:abstractNumId w:val="33"/>
  </w:num>
  <w:num w:numId="4">
    <w:abstractNumId w:val="23"/>
  </w:num>
  <w:num w:numId="5">
    <w:abstractNumId w:val="6"/>
  </w:num>
  <w:num w:numId="6">
    <w:abstractNumId w:val="18"/>
  </w:num>
  <w:num w:numId="7">
    <w:abstractNumId w:val="7"/>
  </w:num>
  <w:num w:numId="8">
    <w:abstractNumId w:val="14"/>
  </w:num>
  <w:num w:numId="9">
    <w:abstractNumId w:val="32"/>
  </w:num>
  <w:num w:numId="10">
    <w:abstractNumId w:val="26"/>
  </w:num>
  <w:num w:numId="11">
    <w:abstractNumId w:val="8"/>
  </w:num>
  <w:num w:numId="12">
    <w:abstractNumId w:val="30"/>
  </w:num>
  <w:num w:numId="13">
    <w:abstractNumId w:val="1"/>
  </w:num>
  <w:num w:numId="14">
    <w:abstractNumId w:val="28"/>
  </w:num>
  <w:num w:numId="15">
    <w:abstractNumId w:val="0"/>
  </w:num>
  <w:num w:numId="16">
    <w:abstractNumId w:val="2"/>
  </w:num>
  <w:num w:numId="17">
    <w:abstractNumId w:val="5"/>
  </w:num>
  <w:num w:numId="18">
    <w:abstractNumId w:val="21"/>
  </w:num>
  <w:num w:numId="19">
    <w:abstractNumId w:val="11"/>
  </w:num>
  <w:num w:numId="20">
    <w:abstractNumId w:val="35"/>
  </w:num>
  <w:num w:numId="21">
    <w:abstractNumId w:val="15"/>
  </w:num>
  <w:num w:numId="22">
    <w:abstractNumId w:val="37"/>
  </w:num>
  <w:num w:numId="23">
    <w:abstractNumId w:val="12"/>
  </w:num>
  <w:num w:numId="24">
    <w:abstractNumId w:val="38"/>
  </w:num>
  <w:num w:numId="25">
    <w:abstractNumId w:val="31"/>
  </w:num>
  <w:num w:numId="26">
    <w:abstractNumId w:val="9"/>
  </w:num>
  <w:num w:numId="27">
    <w:abstractNumId w:val="16"/>
  </w:num>
  <w:num w:numId="28">
    <w:abstractNumId w:val="10"/>
  </w:num>
  <w:num w:numId="29">
    <w:abstractNumId w:val="22"/>
  </w:num>
  <w:num w:numId="30">
    <w:abstractNumId w:val="4"/>
  </w:num>
  <w:num w:numId="31">
    <w:abstractNumId w:val="29"/>
  </w:num>
  <w:num w:numId="32">
    <w:abstractNumId w:val="13"/>
  </w:num>
  <w:num w:numId="33">
    <w:abstractNumId w:val="27"/>
  </w:num>
  <w:num w:numId="34">
    <w:abstractNumId w:val="17"/>
  </w:num>
  <w:num w:numId="35">
    <w:abstractNumId w:val="19"/>
  </w:num>
  <w:num w:numId="36">
    <w:abstractNumId w:val="36"/>
  </w:num>
  <w:num w:numId="37">
    <w:abstractNumId w:val="3"/>
  </w:num>
  <w:num w:numId="38">
    <w:abstractNumId w:val="2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48"/>
    <w:rsid w:val="000A3E5E"/>
    <w:rsid w:val="00272812"/>
    <w:rsid w:val="005D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E1D2E-D288-4B4C-91BA-56380F7F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E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D2E48"/>
    <w:pPr>
      <w:tabs>
        <w:tab w:val="center" w:pos="4677"/>
        <w:tab w:val="right" w:pos="9355"/>
      </w:tabs>
    </w:pPr>
  </w:style>
  <w:style w:type="character" w:customStyle="1" w:styleId="a4">
    <w:name w:val="Нижний колонтитул Знак"/>
    <w:basedOn w:val="a0"/>
    <w:link w:val="a3"/>
    <w:rsid w:val="005D2E48"/>
    <w:rPr>
      <w:rFonts w:ascii="Times New Roman" w:eastAsia="Times New Roman" w:hAnsi="Times New Roman" w:cs="Times New Roman"/>
      <w:sz w:val="24"/>
      <w:szCs w:val="24"/>
      <w:lang w:eastAsia="ru-RU"/>
    </w:rPr>
  </w:style>
  <w:style w:type="character" w:styleId="a5">
    <w:name w:val="page number"/>
    <w:basedOn w:val="a0"/>
    <w:rsid w:val="005D2E48"/>
  </w:style>
  <w:style w:type="paragraph" w:styleId="a6">
    <w:name w:val="header"/>
    <w:basedOn w:val="a"/>
    <w:link w:val="a7"/>
    <w:rsid w:val="005D2E48"/>
    <w:pPr>
      <w:tabs>
        <w:tab w:val="center" w:pos="4677"/>
        <w:tab w:val="right" w:pos="9355"/>
      </w:tabs>
    </w:pPr>
  </w:style>
  <w:style w:type="character" w:customStyle="1" w:styleId="a7">
    <w:name w:val="Верхний колонтитул Знак"/>
    <w:basedOn w:val="a0"/>
    <w:link w:val="a6"/>
    <w:rsid w:val="005D2E48"/>
    <w:rPr>
      <w:rFonts w:ascii="Times New Roman" w:eastAsia="Times New Roman" w:hAnsi="Times New Roman" w:cs="Times New Roman"/>
      <w:sz w:val="24"/>
      <w:szCs w:val="24"/>
      <w:lang w:eastAsia="ru-RU"/>
    </w:rPr>
  </w:style>
  <w:style w:type="paragraph" w:styleId="a8">
    <w:name w:val="Plain Text"/>
    <w:basedOn w:val="a"/>
    <w:link w:val="a9"/>
    <w:rsid w:val="005D2E48"/>
    <w:rPr>
      <w:rFonts w:ascii="Courier New" w:hAnsi="Courier New" w:cs="Courier New"/>
      <w:sz w:val="20"/>
      <w:szCs w:val="20"/>
    </w:rPr>
  </w:style>
  <w:style w:type="character" w:customStyle="1" w:styleId="a9">
    <w:name w:val="Текст Знак"/>
    <w:basedOn w:val="a0"/>
    <w:link w:val="a8"/>
    <w:rsid w:val="005D2E48"/>
    <w:rPr>
      <w:rFonts w:ascii="Courier New" w:eastAsia="Times New Roman" w:hAnsi="Courier New" w:cs="Courier New"/>
      <w:sz w:val="20"/>
      <w:szCs w:val="20"/>
      <w:lang w:eastAsia="ru-RU"/>
    </w:rPr>
  </w:style>
  <w:style w:type="paragraph" w:styleId="aa">
    <w:name w:val="Balloon Text"/>
    <w:basedOn w:val="a"/>
    <w:link w:val="ab"/>
    <w:semiHidden/>
    <w:rsid w:val="005D2E48"/>
    <w:rPr>
      <w:rFonts w:ascii="Tahoma" w:hAnsi="Tahoma" w:cs="Tahoma"/>
      <w:sz w:val="16"/>
      <w:szCs w:val="16"/>
    </w:rPr>
  </w:style>
  <w:style w:type="character" w:customStyle="1" w:styleId="ab">
    <w:name w:val="Текст выноски Знак"/>
    <w:basedOn w:val="a0"/>
    <w:link w:val="aa"/>
    <w:semiHidden/>
    <w:rsid w:val="005D2E48"/>
    <w:rPr>
      <w:rFonts w:ascii="Tahoma" w:eastAsia="Times New Roman" w:hAnsi="Tahoma" w:cs="Tahoma"/>
      <w:sz w:val="16"/>
      <w:szCs w:val="16"/>
      <w:lang w:eastAsia="ru-RU"/>
    </w:rPr>
  </w:style>
  <w:style w:type="paragraph" w:customStyle="1" w:styleId="30">
    <w:name w:val="3.0 текст закона"/>
    <w:basedOn w:val="a"/>
    <w:rsid w:val="005D2E48"/>
    <w:pPr>
      <w:ind w:firstLine="709"/>
      <w:jc w:val="both"/>
    </w:pPr>
  </w:style>
  <w:style w:type="paragraph" w:styleId="ac">
    <w:name w:val="List Paragraph"/>
    <w:basedOn w:val="a"/>
    <w:uiPriority w:val="34"/>
    <w:qFormat/>
    <w:rsid w:val="005D2E48"/>
    <w:pPr>
      <w:ind w:left="720"/>
      <w:contextualSpacing/>
    </w:pPr>
    <w:rPr>
      <w:sz w:val="22"/>
      <w:szCs w:val="22"/>
    </w:rPr>
  </w:style>
  <w:style w:type="table" w:styleId="ad">
    <w:name w:val="Table Grid"/>
    <w:basedOn w:val="a1"/>
    <w:rsid w:val="005D2E4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5D2E48"/>
    <w:rPr>
      <w:color w:val="0000FF"/>
      <w:u w:val="single"/>
    </w:rPr>
  </w:style>
  <w:style w:type="paragraph" w:customStyle="1" w:styleId="ConsPlusNormal">
    <w:name w:val="ConsPlusNormal"/>
    <w:rsid w:val="005D2E48"/>
    <w:pPr>
      <w:widowControl w:val="0"/>
      <w:autoSpaceDE w:val="0"/>
      <w:autoSpaceDN w:val="0"/>
      <w:adjustRightInd w:val="0"/>
      <w:spacing w:after="0" w:line="240" w:lineRule="auto"/>
      <w:ind w:firstLine="720"/>
    </w:pPr>
    <w:rPr>
      <w:rFonts w:ascii="Arial" w:eastAsia="Times New Roman" w:hAnsi="Arial" w:cs="Arial"/>
      <w:lang w:eastAsia="ru-RU"/>
    </w:rPr>
  </w:style>
  <w:style w:type="character" w:styleId="af">
    <w:name w:val="FollowedHyperlink"/>
    <w:basedOn w:val="a0"/>
    <w:uiPriority w:val="99"/>
    <w:unhideWhenUsed/>
    <w:rsid w:val="005D2E48"/>
    <w:rPr>
      <w:color w:val="800080"/>
      <w:u w:val="single"/>
    </w:rPr>
  </w:style>
  <w:style w:type="paragraph" w:customStyle="1" w:styleId="msonormal0">
    <w:name w:val="msonormal"/>
    <w:basedOn w:val="a"/>
    <w:rsid w:val="005D2E48"/>
    <w:pPr>
      <w:spacing w:before="100" w:beforeAutospacing="1" w:after="100" w:afterAutospacing="1"/>
    </w:pPr>
  </w:style>
  <w:style w:type="paragraph" w:customStyle="1" w:styleId="xl68">
    <w:name w:val="xl68"/>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5D2E48"/>
    <w:pPr>
      <w:spacing w:before="100" w:beforeAutospacing="1" w:after="100" w:afterAutospacing="1"/>
    </w:pPr>
    <w:rPr>
      <w:b/>
      <w:bCs/>
      <w:sz w:val="22"/>
      <w:szCs w:val="22"/>
    </w:rPr>
  </w:style>
  <w:style w:type="paragraph" w:customStyle="1" w:styleId="xl70">
    <w:name w:val="xl7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5D2E48"/>
    <w:pPr>
      <w:spacing w:before="100" w:beforeAutospacing="1" w:after="100" w:afterAutospacing="1"/>
    </w:pPr>
    <w:rPr>
      <w:sz w:val="22"/>
      <w:szCs w:val="22"/>
    </w:rPr>
  </w:style>
  <w:style w:type="paragraph" w:customStyle="1" w:styleId="xl72">
    <w:name w:val="xl72"/>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5D2E48"/>
    <w:pPr>
      <w:shd w:val="clear" w:color="000000" w:fill="FFFFFF"/>
      <w:spacing w:before="100" w:beforeAutospacing="1" w:after="100" w:afterAutospacing="1"/>
    </w:pPr>
    <w:rPr>
      <w:sz w:val="22"/>
      <w:szCs w:val="22"/>
    </w:rPr>
  </w:style>
  <w:style w:type="paragraph" w:customStyle="1" w:styleId="xl76">
    <w:name w:val="xl76"/>
    <w:basedOn w:val="a"/>
    <w:rsid w:val="005D2E48"/>
    <w:pPr>
      <w:shd w:val="clear" w:color="000000" w:fill="FFFFFF"/>
      <w:spacing w:before="100" w:beforeAutospacing="1" w:after="100" w:afterAutospacing="1"/>
      <w:jc w:val="right"/>
    </w:pPr>
    <w:rPr>
      <w:sz w:val="22"/>
      <w:szCs w:val="22"/>
    </w:rPr>
  </w:style>
  <w:style w:type="paragraph" w:customStyle="1" w:styleId="xl77">
    <w:name w:val="xl77"/>
    <w:basedOn w:val="a"/>
    <w:rsid w:val="005D2E48"/>
    <w:pPr>
      <w:shd w:val="clear" w:color="000000" w:fill="FFFFFF"/>
      <w:spacing w:before="100" w:beforeAutospacing="1" w:after="100" w:afterAutospacing="1"/>
      <w:jc w:val="center"/>
    </w:pPr>
    <w:rPr>
      <w:sz w:val="22"/>
      <w:szCs w:val="22"/>
    </w:rPr>
  </w:style>
  <w:style w:type="paragraph" w:customStyle="1" w:styleId="xl78">
    <w:name w:val="xl78"/>
    <w:basedOn w:val="a"/>
    <w:rsid w:val="005D2E48"/>
    <w:pPr>
      <w:shd w:val="clear" w:color="000000" w:fill="FFFFFF"/>
      <w:spacing w:before="100" w:beforeAutospacing="1" w:after="100" w:afterAutospacing="1"/>
    </w:pPr>
    <w:rPr>
      <w:b/>
      <w:bCs/>
      <w:sz w:val="22"/>
      <w:szCs w:val="22"/>
    </w:rPr>
  </w:style>
  <w:style w:type="paragraph" w:customStyle="1" w:styleId="xl79">
    <w:name w:val="xl79"/>
    <w:basedOn w:val="a"/>
    <w:rsid w:val="005D2E48"/>
    <w:pPr>
      <w:shd w:val="clear" w:color="000000" w:fill="FFFFFF"/>
      <w:spacing w:before="100" w:beforeAutospacing="1" w:after="100" w:afterAutospacing="1"/>
      <w:textAlignment w:val="center"/>
    </w:pPr>
    <w:rPr>
      <w:sz w:val="22"/>
      <w:szCs w:val="22"/>
    </w:rPr>
  </w:style>
  <w:style w:type="paragraph" w:customStyle="1" w:styleId="xl80">
    <w:name w:val="xl80"/>
    <w:basedOn w:val="a"/>
    <w:rsid w:val="005D2E48"/>
    <w:pPr>
      <w:shd w:val="clear" w:color="000000" w:fill="FFFFFF"/>
      <w:spacing w:before="100" w:beforeAutospacing="1" w:after="100" w:afterAutospacing="1"/>
    </w:pPr>
    <w:rPr>
      <w:i/>
      <w:iCs/>
      <w:sz w:val="22"/>
      <w:szCs w:val="22"/>
    </w:rPr>
  </w:style>
  <w:style w:type="paragraph" w:customStyle="1" w:styleId="xl81">
    <w:name w:val="xl81"/>
    <w:basedOn w:val="a"/>
    <w:rsid w:val="005D2E48"/>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5D2E48"/>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5D2E48"/>
    <w:pPr>
      <w:shd w:val="clear" w:color="000000" w:fill="FFFFFF"/>
      <w:spacing w:before="100" w:beforeAutospacing="1" w:after="100" w:afterAutospacing="1"/>
      <w:jc w:val="center"/>
    </w:pPr>
    <w:rPr>
      <w:b/>
      <w:bCs/>
      <w:sz w:val="22"/>
      <w:szCs w:val="22"/>
    </w:rPr>
  </w:style>
  <w:style w:type="paragraph" w:customStyle="1" w:styleId="xl89">
    <w:name w:val="xl89"/>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5D2E48"/>
    <w:pPr>
      <w:shd w:val="clear" w:color="000000" w:fill="FFFFFF"/>
      <w:spacing w:before="100" w:beforeAutospacing="1" w:after="100" w:afterAutospacing="1"/>
      <w:jc w:val="right"/>
    </w:pPr>
    <w:rPr>
      <w:i/>
      <w:iCs/>
      <w:sz w:val="22"/>
      <w:szCs w:val="22"/>
    </w:rPr>
  </w:style>
  <w:style w:type="paragraph" w:customStyle="1" w:styleId="xl96">
    <w:name w:val="xl96"/>
    <w:basedOn w:val="a"/>
    <w:rsid w:val="005D2E48"/>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5D2E4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5D2E4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5D2E4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5D2E48"/>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5D2E48"/>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5D2E48"/>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5D2E48"/>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5D2E48"/>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5D2E48"/>
    <w:pPr>
      <w:spacing w:before="100" w:beforeAutospacing="1" w:after="100" w:afterAutospacing="1"/>
      <w:jc w:val="center"/>
    </w:pPr>
    <w:rPr>
      <w:sz w:val="22"/>
      <w:szCs w:val="22"/>
    </w:rPr>
  </w:style>
  <w:style w:type="paragraph" w:customStyle="1" w:styleId="xl124">
    <w:name w:val="xl124"/>
    <w:basedOn w:val="a"/>
    <w:rsid w:val="005D2E48"/>
    <w:pPr>
      <w:spacing w:before="100" w:beforeAutospacing="1" w:after="100" w:afterAutospacing="1"/>
      <w:jc w:val="center"/>
    </w:pPr>
    <w:rPr>
      <w:b/>
      <w:bCs/>
      <w:sz w:val="22"/>
      <w:szCs w:val="22"/>
    </w:rPr>
  </w:style>
  <w:style w:type="paragraph" w:customStyle="1" w:styleId="xl125">
    <w:name w:val="xl125"/>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5D2E48"/>
    <w:pPr>
      <w:spacing w:before="100" w:beforeAutospacing="1" w:after="100" w:afterAutospacing="1"/>
    </w:pPr>
    <w:rPr>
      <w:b/>
      <w:bCs/>
      <w:sz w:val="22"/>
      <w:szCs w:val="22"/>
    </w:rPr>
  </w:style>
  <w:style w:type="paragraph" w:customStyle="1" w:styleId="xl135">
    <w:name w:val="xl135"/>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5D2E48"/>
    <w:pPr>
      <w:spacing w:before="100" w:beforeAutospacing="1" w:after="100" w:afterAutospacing="1"/>
    </w:pPr>
    <w:rPr>
      <w:rFonts w:ascii="Tahoma" w:hAnsi="Tahoma" w:cs="Tahoma"/>
      <w:color w:val="000000"/>
      <w:sz w:val="18"/>
      <w:szCs w:val="18"/>
    </w:rPr>
  </w:style>
  <w:style w:type="paragraph" w:customStyle="1" w:styleId="font6">
    <w:name w:val="font6"/>
    <w:basedOn w:val="a"/>
    <w:rsid w:val="005D2E48"/>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5D2E48"/>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5D2E48"/>
    <w:pPr>
      <w:spacing w:before="100" w:beforeAutospacing="1" w:after="100" w:afterAutospacing="1"/>
      <w:jc w:val="center"/>
    </w:pPr>
    <w:rPr>
      <w:sz w:val="22"/>
      <w:szCs w:val="22"/>
    </w:rPr>
  </w:style>
  <w:style w:type="paragraph" w:customStyle="1" w:styleId="xl140">
    <w:name w:val="xl14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5D2E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5D2E4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5D2E4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5D2E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5D2E48"/>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5D2E48"/>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5D2E48"/>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5D2E48"/>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5D2E48"/>
    <w:pPr>
      <w:spacing w:before="100" w:beforeAutospacing="1" w:after="100" w:afterAutospacing="1"/>
      <w:jc w:val="center"/>
      <w:textAlignment w:val="center"/>
    </w:pPr>
    <w:rPr>
      <w:sz w:val="22"/>
      <w:szCs w:val="22"/>
    </w:rPr>
  </w:style>
  <w:style w:type="paragraph" w:customStyle="1" w:styleId="xl156">
    <w:name w:val="xl156"/>
    <w:basedOn w:val="a"/>
    <w:rsid w:val="005D2E48"/>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5D2E48"/>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5D2E48"/>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5D2E48"/>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5D2E48"/>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5D2E48"/>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5D2E48"/>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5D2E48"/>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5D2E48"/>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character" w:customStyle="1" w:styleId="af0">
    <w:name w:val="Гипертекстовая ссылка"/>
    <w:basedOn w:val="a0"/>
    <w:uiPriority w:val="99"/>
    <w:rsid w:val="005D2E48"/>
    <w:rPr>
      <w:color w:val="106BBE"/>
    </w:rPr>
  </w:style>
  <w:style w:type="character" w:styleId="af1">
    <w:name w:val="annotation reference"/>
    <w:basedOn w:val="a0"/>
    <w:rsid w:val="005D2E48"/>
    <w:rPr>
      <w:sz w:val="16"/>
      <w:szCs w:val="16"/>
    </w:rPr>
  </w:style>
  <w:style w:type="paragraph" w:styleId="af2">
    <w:name w:val="annotation text"/>
    <w:basedOn w:val="a"/>
    <w:link w:val="af3"/>
    <w:rsid w:val="005D2E48"/>
    <w:rPr>
      <w:sz w:val="20"/>
      <w:szCs w:val="20"/>
    </w:rPr>
  </w:style>
  <w:style w:type="character" w:customStyle="1" w:styleId="af3">
    <w:name w:val="Текст примечания Знак"/>
    <w:basedOn w:val="a0"/>
    <w:link w:val="af2"/>
    <w:rsid w:val="005D2E48"/>
    <w:rPr>
      <w:rFonts w:ascii="Times New Roman" w:eastAsia="Times New Roman" w:hAnsi="Times New Roman" w:cs="Times New Roman"/>
      <w:sz w:val="20"/>
      <w:szCs w:val="20"/>
      <w:lang w:eastAsia="ru-RU"/>
    </w:rPr>
  </w:style>
  <w:style w:type="paragraph" w:styleId="af4">
    <w:name w:val="annotation subject"/>
    <w:basedOn w:val="af2"/>
    <w:next w:val="af2"/>
    <w:link w:val="af5"/>
    <w:rsid w:val="005D2E48"/>
    <w:rPr>
      <w:b/>
      <w:bCs/>
    </w:rPr>
  </w:style>
  <w:style w:type="character" w:customStyle="1" w:styleId="af5">
    <w:name w:val="Тема примечания Знак"/>
    <w:basedOn w:val="af3"/>
    <w:link w:val="af4"/>
    <w:rsid w:val="005D2E48"/>
    <w:rPr>
      <w:rFonts w:ascii="Times New Roman" w:eastAsia="Times New Roman" w:hAnsi="Times New Roman" w:cs="Times New Roman"/>
      <w:b/>
      <w:bCs/>
      <w:sz w:val="20"/>
      <w:szCs w:val="20"/>
      <w:lang w:eastAsia="ru-RU"/>
    </w:rPr>
  </w:style>
  <w:style w:type="paragraph" w:customStyle="1" w:styleId="af6">
    <w:name w:val="Знак Знак Знак"/>
    <w:basedOn w:val="a"/>
    <w:rsid w:val="005D2E48"/>
    <w:pPr>
      <w:spacing w:after="160" w:line="240" w:lineRule="exact"/>
      <w:jc w:val="both"/>
    </w:pPr>
    <w:rPr>
      <w:rFonts w:ascii="Verdana" w:hAnsi="Verdana" w:cs="Arial"/>
      <w:sz w:val="20"/>
      <w:szCs w:val="20"/>
      <w:lang w:val="en-US" w:eastAsia="en-US"/>
    </w:rPr>
  </w:style>
  <w:style w:type="paragraph" w:customStyle="1" w:styleId="font7">
    <w:name w:val="font7"/>
    <w:basedOn w:val="a"/>
    <w:rsid w:val="005D2E48"/>
    <w:pPr>
      <w:spacing w:before="100" w:beforeAutospacing="1" w:after="100" w:afterAutospacing="1"/>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2854</Words>
  <Characters>16272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3</cp:revision>
  <dcterms:created xsi:type="dcterms:W3CDTF">2024-10-31T11:50:00Z</dcterms:created>
  <dcterms:modified xsi:type="dcterms:W3CDTF">2024-10-31T11:50:00Z</dcterms:modified>
</cp:coreProperties>
</file>