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5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807"/>
      <w:bookmarkEnd w:id="0"/>
      <w:r>
        <w:t>ИСТОЧНИКИ</w:t>
      </w:r>
    </w:p>
    <w:p w:rsidR="000F11D8" w:rsidRDefault="000F11D8">
      <w:pPr>
        <w:pStyle w:val="ConsPlusTitle"/>
        <w:jc w:val="center"/>
      </w:pPr>
      <w:r>
        <w:t>ФИНАНСИРОВАНИЯ ДЕФИЦИТА РАЙОННОГО БЮДЖЕТА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EE13AA" w:rsidRDefault="000F11D8" w:rsidP="00EE13AA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0"/>
        <w:gridCol w:w="2694"/>
        <w:gridCol w:w="1275"/>
        <w:gridCol w:w="1276"/>
        <w:gridCol w:w="1276"/>
      </w:tblGrid>
      <w:tr w:rsidR="000F11D8" w:rsidTr="00EE13AA">
        <w:tc>
          <w:tcPr>
            <w:tcW w:w="2830" w:type="dxa"/>
            <w:vMerge w:val="restart"/>
          </w:tcPr>
          <w:p w:rsidR="000F11D8" w:rsidRDefault="000F11D8" w:rsidP="00EE13AA">
            <w:pPr>
              <w:pStyle w:val="ConsPlusNormal"/>
              <w:ind w:left="-73" w:right="-62"/>
              <w:jc w:val="center"/>
            </w:pPr>
            <w:r>
              <w:t>Наименование</w:t>
            </w:r>
          </w:p>
        </w:tc>
        <w:tc>
          <w:tcPr>
            <w:tcW w:w="2694" w:type="dxa"/>
            <w:vMerge w:val="restart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27" w:type="dxa"/>
            <w:gridSpan w:val="3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Сумма</w:t>
            </w:r>
          </w:p>
        </w:tc>
      </w:tr>
      <w:tr w:rsidR="000F11D8" w:rsidTr="00EE13AA">
        <w:tc>
          <w:tcPr>
            <w:tcW w:w="2830" w:type="dxa"/>
            <w:vMerge/>
          </w:tcPr>
          <w:p w:rsidR="000F11D8" w:rsidRDefault="000F11D8" w:rsidP="00EE13AA">
            <w:pPr>
              <w:pStyle w:val="ConsPlusNormal"/>
              <w:ind w:left="-73" w:right="-62"/>
            </w:pPr>
          </w:p>
        </w:tc>
        <w:tc>
          <w:tcPr>
            <w:tcW w:w="2694" w:type="dxa"/>
            <w:vMerge/>
          </w:tcPr>
          <w:p w:rsidR="000F11D8" w:rsidRDefault="000F11D8" w:rsidP="00EE13AA">
            <w:pPr>
              <w:pStyle w:val="ConsPlusNormal"/>
              <w:ind w:left="-59" w:right="-57"/>
            </w:pP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2027 год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040 01 00 00 00 00 0000 000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957 856,6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42 134,1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91 801,8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040 01 05 00 00 00 0000 000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957 856,6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42 134,1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91 801,8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Увеличение остатков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040 01 05 00 00 00 0000 500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- 1 991 080,5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- 1 979 584,8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- 1 968 215,0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Увеличение прочих остатков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040 01 05 02 00 00 0000 500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- 1 991 080,5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- 1 979 584,8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- 1 968 215,0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Увеличение прочих остатков денежных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040 01 05 02 01 00 0000 510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- 1 991 080,5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- 1 979 584,8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- 1 968 215,0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040 01 05 02 01 05 0000 510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- 1 991 080,5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- 1 979 584,8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- 1 968 215,0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Уменьшение остатков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040 01 05 00 00 00 0000 600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2 060 016,8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Уменьшение прочих остатков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040 01 05 02 00 00 0000 600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2 060 016,8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Уменьшение прочих остатков денежных средств бюджетов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040 01 05 02 01 00 0000 610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2 060 016,8</w:t>
            </w:r>
          </w:p>
        </w:tc>
      </w:tr>
      <w:tr w:rsidR="000F11D8" w:rsidTr="00EE13AA">
        <w:tc>
          <w:tcPr>
            <w:tcW w:w="2830" w:type="dxa"/>
          </w:tcPr>
          <w:p w:rsidR="000F11D8" w:rsidRDefault="000F11D8" w:rsidP="00EE13AA">
            <w:pPr>
              <w:pStyle w:val="ConsPlusNormal"/>
              <w:ind w:left="-73" w:right="-62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0F11D8" w:rsidRDefault="000F11D8" w:rsidP="00EE13AA">
            <w:pPr>
              <w:pStyle w:val="ConsPlusNormal"/>
              <w:ind w:left="-59" w:right="-57"/>
              <w:jc w:val="center"/>
            </w:pPr>
            <w:r>
              <w:t>040 01 05 02 01 05 0000 610</w:t>
            </w:r>
          </w:p>
        </w:tc>
        <w:tc>
          <w:tcPr>
            <w:tcW w:w="1275" w:type="dxa"/>
          </w:tcPr>
          <w:p w:rsidR="000F11D8" w:rsidRDefault="000F11D8" w:rsidP="00EE13AA">
            <w:pPr>
              <w:pStyle w:val="ConsPlusNormal"/>
              <w:ind w:left="-64" w:right="-59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4" w:right="-202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 w:rsidP="00EE13AA">
            <w:pPr>
              <w:pStyle w:val="ConsPlusNormal"/>
              <w:ind w:left="-202" w:right="-204"/>
              <w:jc w:val="center"/>
            </w:pPr>
            <w:r>
              <w:t>2 060 016,8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5491B" w:rsidRDefault="0005491B">
      <w:bookmarkStart w:id="1" w:name="_GoBack"/>
      <w:bookmarkEnd w:id="1"/>
    </w:p>
    <w:sectPr w:rsidR="0005491B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B7E2F"/>
    <w:rsid w:val="003163CB"/>
    <w:rsid w:val="006252D5"/>
    <w:rsid w:val="009E266F"/>
    <w:rsid w:val="00A12080"/>
    <w:rsid w:val="00EE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C899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2143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8</cp:revision>
  <dcterms:created xsi:type="dcterms:W3CDTF">2025-06-05T14:28:00Z</dcterms:created>
  <dcterms:modified xsi:type="dcterms:W3CDTF">2025-06-06T13:07:00Z</dcterms:modified>
</cp:coreProperties>
</file>